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0C443" w14:textId="77777777" w:rsidR="004205EE" w:rsidRPr="007A3BBE" w:rsidRDefault="007A3BBE">
      <w:pPr>
        <w:spacing w:after="480"/>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3BB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Ejercicio 4 — Análisis Comparativo:</w:t>
      </w:r>
      <w:r w:rsidRPr="007A3BB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Árbol Binario de Búsqueda vs Lista Enlazada</w:t>
      </w:r>
    </w:p>
    <w:p w14:paraId="62A6255D" w14:textId="77777777" w:rsidR="004205EE" w:rsidRPr="007A3BBE" w:rsidRDefault="007A3BBE">
      <w:pPr>
        <w:spacing w:before="240" w:after="12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3BBE">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Contexto y Objetivos del Análisis</w:t>
      </w:r>
    </w:p>
    <w:p w14:paraId="1AF457A0" w14:textId="77777777" w:rsidR="004205EE" w:rsidRDefault="007A3BBE">
      <w:r>
        <w:t xml:space="preserve">En el marco del desarrollo de sistemas de software de alto rendimiento, la selección de la estructura de datos óptima resulta </w:t>
      </w:r>
      <w:r>
        <w:t>fundamental para evitar cuellos de botella algorítmicos. Un sistema de inventario masivo que almacena miles de productos experimenta actualmente una severa degradación en sus tiempos de respuesta debido al uso de una Lista Enlazada para las consultas por c</w:t>
      </w:r>
      <w:r>
        <w:t>ódigo. Frente a este escenario, se evalúa una migración estructural hacia un Árbol Binario de Búsqueda (BST) con el fin de optimizar el rendimiento general de las operaciones.</w:t>
      </w:r>
    </w:p>
    <w:p w14:paraId="2AD24BC0" w14:textId="77777777" w:rsidR="004205EE" w:rsidRPr="007A3BBE" w:rsidRDefault="007A3BBE">
      <w:pPr>
        <w:spacing w:before="3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3BBE">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Matriz Comparativa Estructural</w:t>
      </w:r>
    </w:p>
    <w:tbl>
      <w:tblPr>
        <w:tblW w:w="0" w:type="auto"/>
        <w:jc w:val="center"/>
        <w:tblLook w:val="04A0" w:firstRow="1" w:lastRow="0" w:firstColumn="1" w:lastColumn="0" w:noHBand="0" w:noVBand="1"/>
      </w:tblPr>
      <w:tblGrid>
        <w:gridCol w:w="2160"/>
        <w:gridCol w:w="3600"/>
        <w:gridCol w:w="3600"/>
      </w:tblGrid>
      <w:tr w:rsidR="004205EE" w14:paraId="17DAE013" w14:textId="77777777">
        <w:trPr>
          <w:cantSplit/>
          <w:jc w:val="center"/>
        </w:trPr>
        <w:tc>
          <w:tcPr>
            <w:tcW w:w="2160" w:type="dxa"/>
            <w:tcBorders>
              <w:top w:val="single" w:sz="8" w:space="0" w:color="1F4E79"/>
              <w:bottom w:val="single" w:sz="8" w:space="0" w:color="1F4E79"/>
            </w:tcBorders>
            <w:shd w:val="clear" w:color="auto" w:fill="1F4E79"/>
            <w:tcMar>
              <w:top w:w="120" w:type="dxa"/>
              <w:left w:w="160" w:type="dxa"/>
              <w:bottom w:w="120" w:type="dxa"/>
              <w:right w:w="160" w:type="dxa"/>
            </w:tcMar>
            <w:vAlign w:val="center"/>
          </w:tcPr>
          <w:p w14:paraId="60B0C82F" w14:textId="77777777" w:rsidR="004205EE" w:rsidRDefault="007A3BBE">
            <w:pPr>
              <w:spacing w:after="0" w:line="276" w:lineRule="auto"/>
              <w:jc w:val="center"/>
            </w:pPr>
            <w:r>
              <w:rPr>
                <w:b/>
                <w:color w:val="FFFFFF"/>
              </w:rPr>
              <w:t>Criterio</w:t>
            </w:r>
          </w:p>
        </w:tc>
        <w:tc>
          <w:tcPr>
            <w:tcW w:w="3600" w:type="dxa"/>
            <w:tcBorders>
              <w:top w:val="single" w:sz="8" w:space="0" w:color="1F4E79"/>
              <w:bottom w:val="single" w:sz="8" w:space="0" w:color="1F4E79"/>
            </w:tcBorders>
            <w:shd w:val="clear" w:color="auto" w:fill="1F4E79"/>
            <w:tcMar>
              <w:top w:w="120" w:type="dxa"/>
              <w:left w:w="160" w:type="dxa"/>
              <w:bottom w:w="120" w:type="dxa"/>
              <w:right w:w="160" w:type="dxa"/>
            </w:tcMar>
            <w:vAlign w:val="center"/>
          </w:tcPr>
          <w:p w14:paraId="78FC9F31" w14:textId="77777777" w:rsidR="004205EE" w:rsidRDefault="007A3BBE">
            <w:pPr>
              <w:spacing w:after="0" w:line="276" w:lineRule="auto"/>
              <w:jc w:val="center"/>
            </w:pPr>
            <w:r>
              <w:rPr>
                <w:b/>
                <w:color w:val="FFFFFF"/>
              </w:rPr>
              <w:t>Lista Enlazada</w:t>
            </w:r>
          </w:p>
        </w:tc>
        <w:tc>
          <w:tcPr>
            <w:tcW w:w="3600" w:type="dxa"/>
            <w:tcBorders>
              <w:top w:val="single" w:sz="8" w:space="0" w:color="1F4E79"/>
              <w:bottom w:val="single" w:sz="8" w:space="0" w:color="1F4E79"/>
            </w:tcBorders>
            <w:shd w:val="clear" w:color="auto" w:fill="1F4E79"/>
            <w:tcMar>
              <w:top w:w="120" w:type="dxa"/>
              <w:left w:w="160" w:type="dxa"/>
              <w:bottom w:w="120" w:type="dxa"/>
              <w:right w:w="160" w:type="dxa"/>
            </w:tcMar>
            <w:vAlign w:val="center"/>
          </w:tcPr>
          <w:p w14:paraId="0E741F21" w14:textId="77777777" w:rsidR="004205EE" w:rsidRDefault="007A3BBE">
            <w:pPr>
              <w:spacing w:after="0" w:line="276" w:lineRule="auto"/>
              <w:jc w:val="center"/>
            </w:pPr>
            <w:r>
              <w:rPr>
                <w:b/>
                <w:color w:val="FFFFFF"/>
              </w:rPr>
              <w:t>Árbol Binario de Búsqu</w:t>
            </w:r>
            <w:r>
              <w:rPr>
                <w:b/>
                <w:color w:val="FFFFFF"/>
              </w:rPr>
              <w:t>eda (BST)</w:t>
            </w:r>
          </w:p>
        </w:tc>
      </w:tr>
      <w:tr w:rsidR="004205EE" w14:paraId="3995BF86"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60" w:type="dxa"/>
              <w:bottom w:w="120" w:type="dxa"/>
              <w:right w:w="160" w:type="dxa"/>
            </w:tcMar>
            <w:vAlign w:val="center"/>
          </w:tcPr>
          <w:p w14:paraId="42D2FD63" w14:textId="77777777" w:rsidR="004205EE" w:rsidRDefault="007A3BBE">
            <w:pPr>
              <w:spacing w:after="0" w:line="276" w:lineRule="auto"/>
            </w:pPr>
            <w:r>
              <w:rPr>
                <w:b/>
                <w:sz w:val="20"/>
              </w:rPr>
              <w:t>Organización</w:t>
            </w:r>
          </w:p>
        </w:tc>
        <w:tc>
          <w:tcPr>
            <w:tcW w:w="3600" w:type="dxa"/>
            <w:tcBorders>
              <w:top w:val="single" w:sz="4" w:space="0" w:color="D3D3D3"/>
              <w:left w:val="single" w:sz="4" w:space="0" w:color="D3D3D3"/>
              <w:bottom w:val="single" w:sz="4" w:space="0" w:color="D3D3D3"/>
              <w:right w:val="single" w:sz="4" w:space="0" w:color="D3D3D3"/>
            </w:tcBorders>
            <w:tcMar>
              <w:top w:w="120" w:type="dxa"/>
              <w:left w:w="160" w:type="dxa"/>
              <w:bottom w:w="120" w:type="dxa"/>
              <w:right w:w="160" w:type="dxa"/>
            </w:tcMar>
            <w:vAlign w:val="center"/>
          </w:tcPr>
          <w:p w14:paraId="334F998E" w14:textId="77777777" w:rsidR="004205EE" w:rsidRDefault="007A3BBE">
            <w:pPr>
              <w:spacing w:after="0" w:line="276" w:lineRule="auto"/>
            </w:pPr>
            <w:r>
              <w:rPr>
                <w:sz w:val="20"/>
              </w:rPr>
              <w:t>Lineal y secuencial. Los elementos (nodos) están encadenados uno tras otro mediante un único puntero de dirección.</w:t>
            </w:r>
          </w:p>
        </w:tc>
        <w:tc>
          <w:tcPr>
            <w:tcW w:w="3600" w:type="dxa"/>
            <w:tcBorders>
              <w:top w:val="single" w:sz="4" w:space="0" w:color="D3D3D3"/>
              <w:left w:val="single" w:sz="4" w:space="0" w:color="D3D3D3"/>
              <w:bottom w:val="single" w:sz="4" w:space="0" w:color="D3D3D3"/>
              <w:right w:val="single" w:sz="4" w:space="0" w:color="D3D3D3"/>
            </w:tcBorders>
            <w:tcMar>
              <w:top w:w="120" w:type="dxa"/>
              <w:left w:w="160" w:type="dxa"/>
              <w:bottom w:w="120" w:type="dxa"/>
              <w:right w:w="160" w:type="dxa"/>
            </w:tcMar>
            <w:vAlign w:val="center"/>
          </w:tcPr>
          <w:p w14:paraId="0FC2A738" w14:textId="77777777" w:rsidR="004205EE" w:rsidRDefault="007A3BBE">
            <w:pPr>
              <w:spacing w:after="0" w:line="276" w:lineRule="auto"/>
            </w:pPr>
            <w:r>
              <w:rPr>
                <w:sz w:val="20"/>
              </w:rPr>
              <w:t xml:space="preserve">Jerárquica y ramificada. Estructura ordenada donde cada nodo raíz divide sus ramas en subárbol izquierdo (menores) y </w:t>
            </w:r>
            <w:r>
              <w:rPr>
                <w:sz w:val="20"/>
              </w:rPr>
              <w:t>derecho (mayores).</w:t>
            </w:r>
          </w:p>
        </w:tc>
      </w:tr>
      <w:tr w:rsidR="004205EE" w14:paraId="3495D5E9"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60" w:type="dxa"/>
              <w:bottom w:w="120" w:type="dxa"/>
              <w:right w:w="160" w:type="dxa"/>
            </w:tcMar>
            <w:vAlign w:val="center"/>
          </w:tcPr>
          <w:p w14:paraId="40E149A7" w14:textId="77777777" w:rsidR="004205EE" w:rsidRDefault="007A3BBE">
            <w:pPr>
              <w:spacing w:after="0" w:line="276" w:lineRule="auto"/>
            </w:pPr>
            <w:r>
              <w:rPr>
                <w:b/>
                <w:sz w:val="20"/>
              </w:rPr>
              <w:t>Forma de búsqueda</w:t>
            </w:r>
          </w:p>
        </w:tc>
        <w:tc>
          <w:tcPr>
            <w:tcW w:w="3600" w:type="dxa"/>
            <w:tcBorders>
              <w:top w:val="single" w:sz="4" w:space="0" w:color="D3D3D3"/>
              <w:left w:val="single" w:sz="4" w:space="0" w:color="D3D3D3"/>
              <w:bottom w:val="single" w:sz="4" w:space="0" w:color="D3D3D3"/>
              <w:right w:val="single" w:sz="4" w:space="0" w:color="D3D3D3"/>
            </w:tcBorders>
            <w:shd w:val="clear" w:color="auto" w:fill="FAFAFA"/>
            <w:tcMar>
              <w:top w:w="120" w:type="dxa"/>
              <w:left w:w="160" w:type="dxa"/>
              <w:bottom w:w="120" w:type="dxa"/>
              <w:right w:w="160" w:type="dxa"/>
            </w:tcMar>
            <w:vAlign w:val="center"/>
          </w:tcPr>
          <w:p w14:paraId="1DD35A92" w14:textId="77777777" w:rsidR="004205EE" w:rsidRDefault="007A3BBE">
            <w:pPr>
              <w:spacing w:after="0" w:line="276" w:lineRule="auto"/>
            </w:pPr>
            <w:r>
              <w:rPr>
                <w:sz w:val="20"/>
              </w:rPr>
              <w:t>Secuencial. Se recorre la estructura desde el primer nodo ('inicio') comparando elemento por elemento hasta encontrar el código o llegar a null.</w:t>
            </w:r>
          </w:p>
        </w:tc>
        <w:tc>
          <w:tcPr>
            <w:tcW w:w="3600" w:type="dxa"/>
            <w:tcBorders>
              <w:top w:val="single" w:sz="4" w:space="0" w:color="D3D3D3"/>
              <w:left w:val="single" w:sz="4" w:space="0" w:color="D3D3D3"/>
              <w:bottom w:val="single" w:sz="4" w:space="0" w:color="D3D3D3"/>
              <w:right w:val="single" w:sz="4" w:space="0" w:color="D3D3D3"/>
            </w:tcBorders>
            <w:shd w:val="clear" w:color="auto" w:fill="FAFAFA"/>
            <w:tcMar>
              <w:top w:w="120" w:type="dxa"/>
              <w:left w:w="160" w:type="dxa"/>
              <w:bottom w:w="120" w:type="dxa"/>
              <w:right w:w="160" w:type="dxa"/>
            </w:tcMar>
            <w:vAlign w:val="center"/>
          </w:tcPr>
          <w:p w14:paraId="504650C8" w14:textId="77777777" w:rsidR="004205EE" w:rsidRDefault="007A3BBE">
            <w:pPr>
              <w:spacing w:after="0" w:line="276" w:lineRule="auto"/>
            </w:pPr>
            <w:r>
              <w:rPr>
                <w:sz w:val="20"/>
              </w:rPr>
              <w:t xml:space="preserve">Búsqueda Binaria. Se compara el código buscado con la raíz; se </w:t>
            </w:r>
            <w:r>
              <w:rPr>
                <w:sz w:val="20"/>
              </w:rPr>
              <w:t>decide de forma instantánea si descender por el hijo izquierdo o por el derecho, descartando la mitad de la estructura en cada paso.</w:t>
            </w:r>
          </w:p>
        </w:tc>
      </w:tr>
      <w:tr w:rsidR="004205EE" w14:paraId="7AA8DB42"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60" w:type="dxa"/>
              <w:bottom w:w="120" w:type="dxa"/>
              <w:right w:w="160" w:type="dxa"/>
            </w:tcMar>
            <w:vAlign w:val="center"/>
          </w:tcPr>
          <w:p w14:paraId="733C0988" w14:textId="77777777" w:rsidR="004205EE" w:rsidRDefault="007A3BBE">
            <w:pPr>
              <w:spacing w:after="0" w:line="276" w:lineRule="auto"/>
            </w:pPr>
            <w:r>
              <w:rPr>
                <w:b/>
                <w:sz w:val="20"/>
              </w:rPr>
              <w:t>Complejidad promedio</w:t>
            </w:r>
          </w:p>
        </w:tc>
        <w:tc>
          <w:tcPr>
            <w:tcW w:w="3600" w:type="dxa"/>
            <w:tcBorders>
              <w:top w:val="single" w:sz="4" w:space="0" w:color="D3D3D3"/>
              <w:left w:val="single" w:sz="4" w:space="0" w:color="D3D3D3"/>
              <w:bottom w:val="single" w:sz="4" w:space="0" w:color="D3D3D3"/>
              <w:right w:val="single" w:sz="4" w:space="0" w:color="D3D3D3"/>
            </w:tcBorders>
            <w:tcMar>
              <w:top w:w="120" w:type="dxa"/>
              <w:left w:w="160" w:type="dxa"/>
              <w:bottom w:w="120" w:type="dxa"/>
              <w:right w:w="160" w:type="dxa"/>
            </w:tcMar>
            <w:vAlign w:val="center"/>
          </w:tcPr>
          <w:p w14:paraId="6146A7F5" w14:textId="77777777" w:rsidR="004205EE" w:rsidRDefault="007A3BBE">
            <w:pPr>
              <w:spacing w:after="0" w:line="276" w:lineRule="auto"/>
            </w:pPr>
            <w:r>
              <w:rPr>
                <w:sz w:val="20"/>
              </w:rPr>
              <w:t>O(n) - Complejidad Lineal. El tiempo de ejecución crece en proporción directa al número total de elem</w:t>
            </w:r>
            <w:r>
              <w:rPr>
                <w:sz w:val="20"/>
              </w:rPr>
              <w:t>entos almacenados.</w:t>
            </w:r>
          </w:p>
        </w:tc>
        <w:tc>
          <w:tcPr>
            <w:tcW w:w="3600" w:type="dxa"/>
            <w:tcBorders>
              <w:top w:val="single" w:sz="4" w:space="0" w:color="D3D3D3"/>
              <w:left w:val="single" w:sz="4" w:space="0" w:color="D3D3D3"/>
              <w:bottom w:val="single" w:sz="4" w:space="0" w:color="D3D3D3"/>
              <w:right w:val="single" w:sz="4" w:space="0" w:color="D3D3D3"/>
            </w:tcBorders>
            <w:tcMar>
              <w:top w:w="120" w:type="dxa"/>
              <w:left w:w="160" w:type="dxa"/>
              <w:bottom w:w="120" w:type="dxa"/>
              <w:right w:w="160" w:type="dxa"/>
            </w:tcMar>
            <w:vAlign w:val="center"/>
          </w:tcPr>
          <w:p w14:paraId="6EA63E17" w14:textId="77777777" w:rsidR="004205EE" w:rsidRDefault="007A3BBE">
            <w:pPr>
              <w:spacing w:after="0" w:line="276" w:lineRule="auto"/>
            </w:pPr>
            <w:r>
              <w:rPr>
                <w:sz w:val="20"/>
              </w:rPr>
              <w:t>O(log n) - Complejidad Logarítmica. Reduce el espacio de búsqueda exponencialmente, permitiendo consultas ultrarrápidas en grandes volúmenes de datos.</w:t>
            </w:r>
          </w:p>
        </w:tc>
      </w:tr>
      <w:tr w:rsidR="004205EE" w14:paraId="50463D0E"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60" w:type="dxa"/>
              <w:bottom w:w="120" w:type="dxa"/>
              <w:right w:w="160" w:type="dxa"/>
            </w:tcMar>
            <w:vAlign w:val="center"/>
          </w:tcPr>
          <w:p w14:paraId="3AF06A30" w14:textId="77777777" w:rsidR="004205EE" w:rsidRDefault="007A3BBE">
            <w:pPr>
              <w:spacing w:after="0" w:line="276" w:lineRule="auto"/>
            </w:pPr>
            <w:r>
              <w:rPr>
                <w:b/>
                <w:sz w:val="20"/>
              </w:rPr>
              <w:t>Uso de memoria</w:t>
            </w:r>
          </w:p>
        </w:tc>
        <w:tc>
          <w:tcPr>
            <w:tcW w:w="3600" w:type="dxa"/>
            <w:tcBorders>
              <w:top w:val="single" w:sz="4" w:space="0" w:color="D3D3D3"/>
              <w:left w:val="single" w:sz="4" w:space="0" w:color="D3D3D3"/>
              <w:bottom w:val="single" w:sz="4" w:space="0" w:color="D3D3D3"/>
              <w:right w:val="single" w:sz="4" w:space="0" w:color="D3D3D3"/>
            </w:tcBorders>
            <w:shd w:val="clear" w:color="auto" w:fill="FAFAFA"/>
            <w:tcMar>
              <w:top w:w="120" w:type="dxa"/>
              <w:left w:w="160" w:type="dxa"/>
              <w:bottom w:w="120" w:type="dxa"/>
              <w:right w:w="160" w:type="dxa"/>
            </w:tcMar>
            <w:vAlign w:val="center"/>
          </w:tcPr>
          <w:p w14:paraId="34268CFA" w14:textId="77777777" w:rsidR="004205EE" w:rsidRDefault="007A3BBE">
            <w:pPr>
              <w:spacing w:after="0" w:line="276" w:lineRule="auto"/>
            </w:pPr>
            <w:r>
              <w:rPr>
                <w:sz w:val="20"/>
              </w:rPr>
              <w:t xml:space="preserve">Menor. Estructura compacta. Cada nodo requiere almacenar el dato y un </w:t>
            </w:r>
            <w:r>
              <w:rPr>
                <w:sz w:val="20"/>
              </w:rPr>
              <w:t>solo puntero de referencia al siguiente elemento ('next').</w:t>
            </w:r>
          </w:p>
        </w:tc>
        <w:tc>
          <w:tcPr>
            <w:tcW w:w="3600" w:type="dxa"/>
            <w:tcBorders>
              <w:top w:val="single" w:sz="4" w:space="0" w:color="D3D3D3"/>
              <w:left w:val="single" w:sz="4" w:space="0" w:color="D3D3D3"/>
              <w:bottom w:val="single" w:sz="4" w:space="0" w:color="D3D3D3"/>
              <w:right w:val="single" w:sz="4" w:space="0" w:color="D3D3D3"/>
            </w:tcBorders>
            <w:shd w:val="clear" w:color="auto" w:fill="FAFAFA"/>
            <w:tcMar>
              <w:top w:w="120" w:type="dxa"/>
              <w:left w:w="160" w:type="dxa"/>
              <w:bottom w:w="120" w:type="dxa"/>
              <w:right w:w="160" w:type="dxa"/>
            </w:tcMar>
            <w:vAlign w:val="center"/>
          </w:tcPr>
          <w:p w14:paraId="45FB2EFB" w14:textId="77777777" w:rsidR="004205EE" w:rsidRDefault="007A3BBE">
            <w:pPr>
              <w:spacing w:after="0" w:line="276" w:lineRule="auto"/>
            </w:pPr>
            <w:r>
              <w:rPr>
                <w:sz w:val="20"/>
              </w:rPr>
              <w:t>Mayor. Cada nodo requiere duplicar su peso de direccionamiento, almacenando el dato y obligatoriamente dos punteros ('izquierdo' y 'derecho').</w:t>
            </w:r>
          </w:p>
        </w:tc>
      </w:tr>
      <w:tr w:rsidR="004205EE" w14:paraId="23F08390"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60" w:type="dxa"/>
              <w:bottom w:w="120" w:type="dxa"/>
              <w:right w:w="160" w:type="dxa"/>
            </w:tcMar>
            <w:vAlign w:val="center"/>
          </w:tcPr>
          <w:p w14:paraId="31A1352D" w14:textId="77777777" w:rsidR="004205EE" w:rsidRDefault="007A3BBE">
            <w:pPr>
              <w:spacing w:after="0" w:line="276" w:lineRule="auto"/>
            </w:pPr>
            <w:r>
              <w:rPr>
                <w:b/>
                <w:sz w:val="20"/>
              </w:rPr>
              <w:lastRenderedPageBreak/>
              <w:t>Inserción</w:t>
            </w:r>
          </w:p>
        </w:tc>
        <w:tc>
          <w:tcPr>
            <w:tcW w:w="3600" w:type="dxa"/>
            <w:tcBorders>
              <w:top w:val="single" w:sz="4" w:space="0" w:color="D3D3D3"/>
              <w:left w:val="single" w:sz="4" w:space="0" w:color="D3D3D3"/>
              <w:bottom w:val="single" w:sz="4" w:space="0" w:color="D3D3D3"/>
              <w:right w:val="single" w:sz="4" w:space="0" w:color="D3D3D3"/>
            </w:tcBorders>
            <w:tcMar>
              <w:top w:w="120" w:type="dxa"/>
              <w:left w:w="160" w:type="dxa"/>
              <w:bottom w:w="120" w:type="dxa"/>
              <w:right w:w="160" w:type="dxa"/>
            </w:tcMar>
            <w:vAlign w:val="center"/>
          </w:tcPr>
          <w:p w14:paraId="1081D931" w14:textId="77777777" w:rsidR="004205EE" w:rsidRDefault="007A3BBE">
            <w:pPr>
              <w:spacing w:after="0" w:line="276" w:lineRule="auto"/>
            </w:pPr>
            <w:r>
              <w:rPr>
                <w:sz w:val="20"/>
              </w:rPr>
              <w:t xml:space="preserve">O(1) - Tiempo Constante. Muy </w:t>
            </w:r>
            <w:r>
              <w:rPr>
                <w:sz w:val="20"/>
              </w:rPr>
              <w:t>eficiente si se realiza al inicio o al final (teniendo referencia), requiriendo únicamente reasignar punteros locales.</w:t>
            </w:r>
          </w:p>
        </w:tc>
        <w:tc>
          <w:tcPr>
            <w:tcW w:w="3600" w:type="dxa"/>
            <w:tcBorders>
              <w:top w:val="single" w:sz="4" w:space="0" w:color="D3D3D3"/>
              <w:left w:val="single" w:sz="4" w:space="0" w:color="D3D3D3"/>
              <w:bottom w:val="single" w:sz="4" w:space="0" w:color="D3D3D3"/>
              <w:right w:val="single" w:sz="4" w:space="0" w:color="D3D3D3"/>
            </w:tcBorders>
            <w:tcMar>
              <w:top w:w="120" w:type="dxa"/>
              <w:left w:w="160" w:type="dxa"/>
              <w:bottom w:w="120" w:type="dxa"/>
              <w:right w:w="160" w:type="dxa"/>
            </w:tcMar>
            <w:vAlign w:val="center"/>
          </w:tcPr>
          <w:p w14:paraId="6075D81C" w14:textId="77777777" w:rsidR="004205EE" w:rsidRDefault="007A3BBE">
            <w:pPr>
              <w:spacing w:after="0" w:line="276" w:lineRule="auto"/>
            </w:pPr>
            <w:r>
              <w:rPr>
                <w:sz w:val="20"/>
              </w:rPr>
              <w:t>O(log n) - Tiempo Logarítmico promedio. Requiere efectuar un proceso previo de búsqueda para localizar la posición jerárquica exacta de i</w:t>
            </w:r>
            <w:r>
              <w:rPr>
                <w:sz w:val="20"/>
              </w:rPr>
              <w:t>nserción sin romper el orden de la estructura.</w:t>
            </w:r>
          </w:p>
        </w:tc>
      </w:tr>
    </w:tbl>
    <w:p w14:paraId="5CF3F989" w14:textId="77777777" w:rsidR="004205EE" w:rsidRDefault="004205EE">
      <w:pPr>
        <w:spacing w:after="240"/>
      </w:pPr>
    </w:p>
    <w:p w14:paraId="16B8EEE3" w14:textId="77777777" w:rsidR="004205EE" w:rsidRPr="007A3BBE" w:rsidRDefault="007A3BBE">
      <w:pPr>
        <w:spacing w:before="3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3BBE">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Preguntas de Reflexión y Análisis de Ingeniería</w:t>
      </w:r>
    </w:p>
    <w:p w14:paraId="4FB14671" w14:textId="77777777" w:rsidR="004205EE" w:rsidRDefault="007A3BBE">
      <w:r>
        <w:rPr>
          <w:b/>
        </w:rPr>
        <w:t>¿Qué ocurre si el árbol binario de búsqueda se desbalancea?</w:t>
      </w:r>
      <w:r>
        <w:rPr>
          <w:b/>
        </w:rPr>
        <w:br/>
      </w:r>
      <w:r>
        <w:t xml:space="preserve">Cuando un BST recibe datos ya ordenados de forma ascendente o descendente (por ejemplo, códigos </w:t>
      </w:r>
      <w:r>
        <w:t>secuenciales: 10, 20, 30...), la estructura pierde su ramificación bilateral y crece exclusivamente en una sola dirección. Esto se conoce en computación como un árbol degenerado. En la práctica, el árbol se transforma en una lista enlazada encubierta, lo q</w:t>
      </w:r>
      <w:r>
        <w:t>ue degrada críticamente su rendimiento de búsqueda promedio de un óptimo O(log n) a un deficiente O(n).</w:t>
      </w:r>
    </w:p>
    <w:p w14:paraId="5EE83DEE" w14:textId="77777777" w:rsidR="004205EE" w:rsidRDefault="007A3BBE">
      <w:r>
        <w:rPr>
          <w:b/>
        </w:rPr>
        <w:t>¿Por qué un BST puede acercarse a O(log n)?</w:t>
      </w:r>
      <w:r>
        <w:rPr>
          <w:b/>
        </w:rPr>
        <w:br/>
      </w:r>
      <w:r>
        <w:t xml:space="preserve">Esto se debe a la aplicación pura del principio algorítmico de 'divide y vencerás'. En un árbol binario que </w:t>
      </w:r>
      <w:r>
        <w:t>se mantiene balanceado, cada nivel representa una bifurcación exacta. Al evaluar si el elemento buscado es mayor o menor que el nodo actual, el sistema es capaz de descartar el 50% de los datos remanentes en un solo ciclo de instrucción. Matemáticamente, e</w:t>
      </w:r>
      <w:r>
        <w:t>l número de comparaciones máximas es equivalente a la altura del árbol, lo cual se traduce en una curva de crecimiento logarítmico (log₂ n).</w:t>
      </w:r>
    </w:p>
    <w:p w14:paraId="0E9CCE59" w14:textId="77777777" w:rsidR="004205EE" w:rsidRDefault="007A3BBE">
      <w:r>
        <w:rPr>
          <w:b/>
        </w:rPr>
        <w:t>¿En qué casos una lista enlazada puede ser suficiente o más simple?</w:t>
      </w:r>
      <w:r>
        <w:rPr>
          <w:b/>
        </w:rPr>
        <w:br/>
      </w:r>
      <w:r>
        <w:t xml:space="preserve">La lista enlazada conserva ventajas </w:t>
      </w:r>
      <w:r>
        <w:t>contundentes en escenarios específicos:</w:t>
      </w:r>
      <w:r>
        <w:br/>
        <w:t>1. Volúmenes de datos reducidos: Donde el costo de procesamiento por nanosegundos es despreciable y no justifica la complejidad de implementación de un árbol.</w:t>
      </w:r>
      <w:r>
        <w:br/>
        <w:t>2. Alta tasa de inserciones secuenciales y bajas consulta</w:t>
      </w:r>
      <w:r>
        <w:t>s: Como en buffers de logs históricos de auditoría o colas de impresión FIFO, donde solo se requiere encolar datos al final en O(1).</w:t>
      </w:r>
      <w:r>
        <w:br/>
        <w:t>3. Entornos con restricciones severas de memoria: Dispositivos de hardware empotrados (embebidos) donde mantener punteros v</w:t>
      </w:r>
      <w:r>
        <w:t>acíos a izquierda y derecha ('null') represente un desperdicio crítico de memoria RAM.</w:t>
      </w:r>
    </w:p>
    <w:sectPr w:rsidR="004205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05EE"/>
    <w:rsid w:val="007A3B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9E11D"/>
  <w14:defaultImageDpi w14:val="300"/>
  <w15:docId w15:val="{767DBE88-1EA2-488F-9F92-9577DA54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636</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SCIS2PC31</cp:lastModifiedBy>
  <cp:revision>2</cp:revision>
  <dcterms:created xsi:type="dcterms:W3CDTF">2026-05-22T12:47:00Z</dcterms:created>
  <dcterms:modified xsi:type="dcterms:W3CDTF">2026-05-22T12:47:00Z</dcterms:modified>
  <cp:category/>
</cp:coreProperties>
</file>