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fif"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Hola Ruben Dario Peñuela Perdomo,</w:t>
      </w:r>
    </w:p>
    <w:p/>
    <w:p>
      <w:r>
        <w:t>Q-Vision Technologies le da un caluroso saludo y le informa que, para continuar con el proceso de selección en el que usted se encuentra participando, es necesario que disponga del tiempo suficiente para realizar la(s) prueba(s) cuyos detalles se encuentra relacionados en la siguiente tabla:</w:t>
      </w:r>
    </w:p>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592"/>
            <w:shd w:fill="2F5469"/>
          </w:tcPr>
          <w:p>
            <w:pPr>
              <w:jc w:val="center"/>
            </w:pPr>
            <w:r>
              <w:rPr>
                <w:b/>
                <w:color w:val="FFFFFF"/>
                <w:sz w:val="20"/>
              </w:rPr>
              <w:t>Nombre de la prueba</w:t>
            </w:r>
          </w:p>
        </w:tc>
        <w:tc>
          <w:tcPr>
            <w:tcW w:type="dxa" w:w="3600"/>
            <w:shd w:fill="2F5469"/>
          </w:tcPr>
          <w:p>
            <w:pPr>
              <w:jc w:val="center"/>
            </w:pPr>
            <w:r>
              <w:rPr>
                <w:b/>
                <w:color w:val="FFFFFF"/>
                <w:sz w:val="20"/>
              </w:rPr>
              <w:t>Link de acceso a la prueba</w:t>
            </w:r>
          </w:p>
        </w:tc>
        <w:tc>
          <w:tcPr>
            <w:tcW w:type="dxa" w:w="1440"/>
            <w:shd w:fill="2F5469"/>
          </w:tcPr>
          <w:p>
            <w:pPr>
              <w:jc w:val="center"/>
            </w:pPr>
            <w:r>
              <w:rPr>
                <w:b/>
                <w:color w:val="FFFFFF"/>
                <w:sz w:val="20"/>
              </w:rPr>
              <w:t>Nivel de conocimiento a evaluar</w:t>
            </w:r>
          </w:p>
        </w:tc>
        <w:tc>
          <w:tcPr>
            <w:tcW w:type="dxa" w:w="1152"/>
            <w:shd w:fill="2F5469"/>
          </w:tcPr>
          <w:p>
            <w:pPr>
              <w:jc w:val="center"/>
            </w:pPr>
            <w:r>
              <w:rPr>
                <w:b/>
                <w:color w:val="FFFFFF"/>
                <w:sz w:val="20"/>
              </w:rPr>
              <w:t>Tiempo disponible por nivel</w:t>
            </w:r>
          </w:p>
        </w:tc>
        <w:tc>
          <w:tcPr>
            <w:tcW w:type="dxa" w:w="1152"/>
            <w:shd w:fill="2F5469"/>
          </w:tcPr>
          <w:p>
            <w:pPr>
              <w:jc w:val="center"/>
            </w:pPr>
            <w:r>
              <w:rPr>
                <w:b/>
                <w:color w:val="FFFFFF"/>
                <w:sz w:val="20"/>
              </w:rPr>
              <w:t>Lenguaje</w:t>
            </w:r>
          </w:p>
        </w:tc>
        <w:tc>
          <w:tcPr>
            <w:tcW w:type="dxa" w:w="1296"/>
            <w:shd w:fill="2F5469"/>
          </w:tcPr>
          <w:p>
            <w:pPr>
              <w:jc w:val="center"/>
            </w:pPr>
            <w:r>
              <w:rPr>
                <w:b/>
                <w:color w:val="FFFFFF"/>
                <w:sz w:val="20"/>
              </w:rPr>
              <w:t>Monitorización</w:t>
            </w:r>
          </w:p>
        </w:tc>
      </w:tr>
      <w:tr>
        <w:tc>
          <w:tcPr>
            <w:tcW w:type="dxa" w:w="2592"/>
            <w:vMerge w:val="restart"/>
            <w:vAlign w:val="center"/>
          </w:tcPr>
          <w:p>
            <w:pPr>
              <w:jc w:val="left"/>
            </w:pPr>
            <w:r>
              <w:rPr>
                <w:sz w:val="20"/>
              </w:rPr>
              <w:t>Prueba Diagnóstica (DX) Analista Funcional</w:t>
            </w:r>
          </w:p>
        </w:tc>
        <w:tc>
          <w:tcPr>
            <w:tcW w:type="dxa" w:w="3600"/>
            <w:vMerge w:val="restart"/>
            <w:vAlign w:val="center"/>
          </w:tcPr>
          <w:p>
            <w:pPr>
              <w:jc w:val="left"/>
            </w:pPr>
            <w:r>
              <w:rPr>
                <w:color w:val="0000FF"/>
                <w:sz w:val="20"/>
                <w:u w:val="single"/>
              </w:rPr>
            </w:r>
            <w:hyperlink r:id="rId9">
              <w:r>
                <w:rPr>
                  <w:color w:val="0000FF"/>
                  <w:u w:val="single"/>
                  <w:sz w:val="20"/>
                </w:rPr>
                <w:t>https://campusvirtual.izyacademy.com/course/view.php?id=601</w:t>
              </w:r>
            </w:hyperlink>
          </w:p>
        </w:tc>
        <w:tc>
          <w:tcPr>
            <w:tcW w:type="dxa" w:w="1440"/>
            <w:vAlign w:val="center"/>
          </w:tcPr>
          <w:p>
            <w:pPr>
              <w:jc w:val="left"/>
            </w:pPr>
            <w:r>
              <w:rPr>
                <w:sz w:val="20"/>
              </w:rPr>
              <w:t>Básico</w:t>
            </w:r>
          </w:p>
        </w:tc>
        <w:tc>
          <w:tcPr>
            <w:tcW w:type="dxa" w:w="1152"/>
            <w:vAlign w:val="center"/>
          </w:tcPr>
          <w:p>
            <w:pPr>
              <w:jc w:val="left"/>
            </w:pPr>
            <w:r>
              <w:rPr>
                <w:sz w:val="20"/>
              </w:rPr>
              <w:t>15 Minutos</w:t>
            </w:r>
          </w:p>
        </w:tc>
        <w:tc>
          <w:tcPr>
            <w:tcW w:type="dxa" w:w="1152"/>
            <w:vMerge w:val="restart"/>
            <w:vAlign w:val="center"/>
          </w:tcPr>
          <w:p>
            <w:pPr>
              <w:jc w:val="left"/>
            </w:pPr>
            <w:r>
              <w:rPr>
                <w:sz w:val="20"/>
              </w:rPr>
              <w:t>Español</w:t>
            </w:r>
          </w:p>
        </w:tc>
        <w:tc>
          <w:tcPr>
            <w:tcW w:type="dxa" w:w="1296"/>
            <w:vMerge w:val="restart"/>
            <w:vAlign w:val="center"/>
          </w:tcPr>
          <w:p>
            <w:pPr>
              <w:jc w:val="left"/>
            </w:pPr>
            <w:r>
              <w:rPr>
                <w:sz w:val="20"/>
              </w:rPr>
              <w:t>Si</w:t>
            </w:r>
          </w:p>
        </w:tc>
      </w:tr>
      <w:tr>
        <w:tc>
          <w:tcPr>
            <w:tcW w:type="dxa" w:w="2592"/>
            <w:vMerge/>
          </w:tcPr>
          <w:p/>
        </w:tc>
        <w:tc>
          <w:tcPr>
            <w:tcW w:type="dxa" w:w="3600"/>
            <w:vMerge/>
          </w:tcPr>
          <w:p/>
        </w:tc>
        <w:tc>
          <w:tcPr>
            <w:tcW w:type="dxa" w:w="1440"/>
            <w:vAlign w:val="center"/>
          </w:tcPr>
          <w:p>
            <w:pPr>
              <w:jc w:val="left"/>
            </w:pPr>
            <w:r>
              <w:rPr>
                <w:sz w:val="20"/>
              </w:rPr>
              <w:t>Intermedio</w:t>
            </w:r>
          </w:p>
        </w:tc>
        <w:tc>
          <w:tcPr>
            <w:tcW w:type="dxa" w:w="1152"/>
            <w:vAlign w:val="center"/>
          </w:tcPr>
          <w:p>
            <w:pPr>
              <w:jc w:val="left"/>
            </w:pPr>
            <w:r>
              <w:rPr>
                <w:sz w:val="20"/>
              </w:rPr>
              <w:t>15 Minutos</w:t>
            </w:r>
          </w:p>
        </w:tc>
        <w:tc>
          <w:tcPr>
            <w:tcW w:type="dxa" w:w="1152"/>
            <w:vMerge/>
          </w:tcPr>
          <w:p/>
        </w:tc>
        <w:tc>
          <w:tcPr>
            <w:tcW w:type="dxa" w:w="1296"/>
            <w:vMerge/>
          </w:tcPr>
          <w:p/>
        </w:tc>
      </w:tr>
      <w:tr>
        <w:tc>
          <w:tcPr>
            <w:tcW w:type="dxa" w:w="2592"/>
            <w:vMerge/>
          </w:tcPr>
          <w:p/>
        </w:tc>
        <w:tc>
          <w:tcPr>
            <w:tcW w:type="dxa" w:w="3600"/>
            <w:vMerge/>
          </w:tcPr>
          <w:p/>
        </w:tc>
        <w:tc>
          <w:tcPr>
            <w:tcW w:type="dxa" w:w="1440"/>
            <w:vAlign w:val="center"/>
          </w:tcPr>
          <w:p>
            <w:pPr>
              <w:jc w:val="left"/>
            </w:pPr>
            <w:r>
              <w:rPr>
                <w:sz w:val="20"/>
              </w:rPr>
              <w:t>Avanzado</w:t>
            </w:r>
          </w:p>
        </w:tc>
        <w:tc>
          <w:tcPr>
            <w:tcW w:type="dxa" w:w="1152"/>
            <w:vAlign w:val="center"/>
          </w:tcPr>
          <w:p>
            <w:pPr>
              <w:jc w:val="left"/>
            </w:pPr>
            <w:r>
              <w:rPr>
                <w:sz w:val="20"/>
              </w:rPr>
              <w:t>15 Minutos</w:t>
            </w:r>
          </w:p>
        </w:tc>
        <w:tc>
          <w:tcPr>
            <w:tcW w:type="dxa" w:w="1152"/>
            <w:vMerge/>
          </w:tcPr>
          <w:p/>
        </w:tc>
        <w:tc>
          <w:tcPr>
            <w:tcW w:type="dxa" w:w="1296"/>
            <w:vMerge/>
          </w:tcPr>
          <w:p/>
        </w:tc>
      </w:tr>
      <w:tr>
        <w:tc>
          <w:tcPr>
            <w:tcW w:type="dxa" w:w="2592"/>
            <w:vMerge w:val="restart"/>
            <w:vAlign w:val="center"/>
          </w:tcPr>
          <w:p>
            <w:pPr>
              <w:jc w:val="left"/>
            </w:pPr>
            <w:r>
              <w:rPr>
                <w:sz w:val="20"/>
              </w:rPr>
              <w:t>Prueba Diagnóstica (DX) SQL y Bases de Datos</w:t>
            </w:r>
          </w:p>
        </w:tc>
        <w:tc>
          <w:tcPr>
            <w:tcW w:type="dxa" w:w="3600"/>
            <w:vMerge w:val="restart"/>
            <w:vAlign w:val="center"/>
          </w:tcPr>
          <w:p>
            <w:pPr>
              <w:jc w:val="left"/>
            </w:pPr>
            <w:r>
              <w:rPr>
                <w:color w:val="0000FF"/>
                <w:sz w:val="20"/>
                <w:u w:val="single"/>
              </w:rPr>
            </w:r>
            <w:hyperlink r:id="rId10">
              <w:r>
                <w:rPr>
                  <w:color w:val="0000FF"/>
                  <w:u w:val="single"/>
                  <w:sz w:val="20"/>
                </w:rPr>
                <w:t>https://campusvirtual.izyacademy.com/course/view.php?id=614</w:t>
              </w:r>
            </w:hyperlink>
          </w:p>
        </w:tc>
        <w:tc>
          <w:tcPr>
            <w:tcW w:type="dxa" w:w="1440"/>
            <w:vAlign w:val="center"/>
          </w:tcPr>
          <w:p>
            <w:pPr>
              <w:jc w:val="left"/>
            </w:pPr>
            <w:r>
              <w:rPr>
                <w:sz w:val="20"/>
              </w:rPr>
              <w:t>Básico</w:t>
            </w:r>
          </w:p>
        </w:tc>
        <w:tc>
          <w:tcPr>
            <w:tcW w:type="dxa" w:w="1152"/>
            <w:vAlign w:val="center"/>
          </w:tcPr>
          <w:p>
            <w:pPr>
              <w:jc w:val="left"/>
            </w:pPr>
            <w:r>
              <w:rPr>
                <w:sz w:val="20"/>
              </w:rPr>
              <w:t>15 Minutos</w:t>
            </w:r>
          </w:p>
        </w:tc>
        <w:tc>
          <w:tcPr>
            <w:tcW w:type="dxa" w:w="1152"/>
            <w:vMerge w:val="restart"/>
            <w:vAlign w:val="center"/>
          </w:tcPr>
          <w:p>
            <w:pPr>
              <w:jc w:val="left"/>
            </w:pPr>
            <w:r>
              <w:rPr>
                <w:sz w:val="20"/>
              </w:rPr>
              <w:t>Español</w:t>
            </w:r>
          </w:p>
        </w:tc>
        <w:tc>
          <w:tcPr>
            <w:tcW w:type="dxa" w:w="1296"/>
            <w:vMerge w:val="restart"/>
            <w:vAlign w:val="center"/>
          </w:tcPr>
          <w:p>
            <w:pPr>
              <w:jc w:val="left"/>
            </w:pPr>
            <w:r>
              <w:rPr>
                <w:sz w:val="20"/>
              </w:rPr>
              <w:t>Si</w:t>
            </w:r>
          </w:p>
        </w:tc>
      </w:tr>
      <w:tr>
        <w:tc>
          <w:tcPr>
            <w:tcW w:type="dxa" w:w="2592"/>
            <w:vMerge/>
          </w:tcPr>
          <w:p/>
        </w:tc>
        <w:tc>
          <w:tcPr>
            <w:tcW w:type="dxa" w:w="3600"/>
            <w:vMerge/>
          </w:tcPr>
          <w:p/>
        </w:tc>
        <w:tc>
          <w:tcPr>
            <w:tcW w:type="dxa" w:w="1440"/>
            <w:vAlign w:val="center"/>
          </w:tcPr>
          <w:p>
            <w:pPr>
              <w:jc w:val="left"/>
            </w:pPr>
            <w:r>
              <w:rPr>
                <w:sz w:val="20"/>
              </w:rPr>
              <w:t>Intermedio</w:t>
            </w:r>
          </w:p>
        </w:tc>
        <w:tc>
          <w:tcPr>
            <w:tcW w:type="dxa" w:w="1152"/>
            <w:vAlign w:val="center"/>
          </w:tcPr>
          <w:p>
            <w:pPr>
              <w:jc w:val="left"/>
            </w:pPr>
            <w:r>
              <w:rPr>
                <w:sz w:val="20"/>
              </w:rPr>
              <w:t>15 Minutos</w:t>
            </w:r>
          </w:p>
        </w:tc>
        <w:tc>
          <w:tcPr>
            <w:tcW w:type="dxa" w:w="1152"/>
            <w:vMerge/>
          </w:tcPr>
          <w:p/>
        </w:tc>
        <w:tc>
          <w:tcPr>
            <w:tcW w:type="dxa" w:w="1296"/>
            <w:vMerge/>
          </w:tcPr>
          <w:p/>
        </w:tc>
      </w:tr>
      <w:tr>
        <w:tc>
          <w:tcPr>
            <w:tcW w:type="dxa" w:w="2592"/>
            <w:vMerge/>
          </w:tcPr>
          <w:p/>
        </w:tc>
        <w:tc>
          <w:tcPr>
            <w:tcW w:type="dxa" w:w="3600"/>
            <w:vMerge/>
          </w:tcPr>
          <w:p/>
        </w:tc>
        <w:tc>
          <w:tcPr>
            <w:tcW w:type="dxa" w:w="1440"/>
            <w:vAlign w:val="center"/>
          </w:tcPr>
          <w:p>
            <w:pPr>
              <w:jc w:val="left"/>
            </w:pPr>
            <w:r>
              <w:rPr>
                <w:sz w:val="20"/>
              </w:rPr>
              <w:t>Avanzado</w:t>
            </w:r>
          </w:p>
        </w:tc>
        <w:tc>
          <w:tcPr>
            <w:tcW w:type="dxa" w:w="1152"/>
            <w:vAlign w:val="center"/>
          </w:tcPr>
          <w:p>
            <w:pPr>
              <w:jc w:val="left"/>
            </w:pPr>
            <w:r>
              <w:rPr>
                <w:sz w:val="20"/>
              </w:rPr>
              <w:t>15 Minutos</w:t>
            </w:r>
          </w:p>
        </w:tc>
        <w:tc>
          <w:tcPr>
            <w:tcW w:type="dxa" w:w="1152"/>
            <w:vMerge/>
          </w:tcPr>
          <w:p/>
        </w:tc>
        <w:tc>
          <w:tcPr>
            <w:tcW w:type="dxa" w:w="1296"/>
            <w:vMerge/>
          </w:tcPr>
          <w:p/>
        </w:tc>
      </w:tr>
      <w:tr>
        <w:tc>
          <w:tcPr>
            <w:tcW w:type="dxa" w:w="2592"/>
            <w:vAlign w:val="center"/>
          </w:tcPr>
          <w:p>
            <w:pPr>
              <w:jc w:val="left"/>
            </w:pPr>
            <w:r>
              <w:rPr>
                <w:sz w:val="20"/>
              </w:rPr>
              <w:t>Prueba Diagnóstica (DX) WebServices</w:t>
            </w:r>
          </w:p>
        </w:tc>
        <w:tc>
          <w:tcPr>
            <w:tcW w:type="dxa" w:w="3600"/>
            <w:vAlign w:val="center"/>
          </w:tcPr>
          <w:p>
            <w:pPr>
              <w:jc w:val="left"/>
            </w:pPr>
            <w:r>
              <w:rPr>
                <w:color w:val="0000FF"/>
                <w:sz w:val="20"/>
                <w:u w:val="single"/>
              </w:rPr>
            </w:r>
            <w:hyperlink r:id="rId11">
              <w:r>
                <w:rPr>
                  <w:color w:val="0000FF"/>
                  <w:u w:val="single"/>
                  <w:sz w:val="20"/>
                </w:rPr>
                <w:t>https://campusvirtual.izyacademy.com/course/view.php?id=602</w:t>
              </w:r>
            </w:hyperlink>
          </w:p>
        </w:tc>
        <w:tc>
          <w:tcPr>
            <w:tcW w:type="dxa" w:w="1440"/>
            <w:vAlign w:val="center"/>
          </w:tcPr>
          <w:p>
            <w:pPr>
              <w:jc w:val="left"/>
            </w:pPr>
            <w:r>
              <w:rPr>
                <w:sz w:val="20"/>
              </w:rPr>
              <w:t>Basico</w:t>
            </w:r>
          </w:p>
        </w:tc>
        <w:tc>
          <w:tcPr>
            <w:tcW w:type="dxa" w:w="1152"/>
            <w:vAlign w:val="center"/>
          </w:tcPr>
          <w:p>
            <w:pPr>
              <w:jc w:val="left"/>
            </w:pPr>
            <w:r>
              <w:rPr>
                <w:sz w:val="20"/>
              </w:rPr>
              <w:t>15 Minutos</w:t>
            </w:r>
          </w:p>
        </w:tc>
        <w:tc>
          <w:tcPr>
            <w:tcW w:type="dxa" w:w="1152"/>
            <w:vAlign w:val="center"/>
          </w:tcPr>
          <w:p>
            <w:pPr>
              <w:jc w:val="left"/>
            </w:pPr>
            <w:r>
              <w:rPr>
                <w:sz w:val="20"/>
              </w:rPr>
              <w:t>Español</w:t>
            </w:r>
          </w:p>
        </w:tc>
        <w:tc>
          <w:tcPr>
            <w:tcW w:type="dxa" w:w="1296"/>
            <w:vAlign w:val="center"/>
          </w:tcPr>
          <w:p>
            <w:pPr>
              <w:jc w:val="left"/>
            </w:pPr>
            <w:r>
              <w:rPr>
                <w:sz w:val="20"/>
              </w:rPr>
              <w:t>Si</w:t>
            </w:r>
          </w:p>
        </w:tc>
      </w:tr>
      <w:tr>
        <w:tc>
          <w:tcPr>
            <w:tcW w:type="dxa" w:w="2592"/>
            <w:vAlign w:val="center"/>
          </w:tcPr>
          <w:p>
            <w:pPr>
              <w:jc w:val="left"/>
            </w:pPr>
            <w:r>
              <w:rPr>
                <w:sz w:val="20"/>
              </w:rPr>
              <w:t>Prueba Técnica (DT) Habilidades y Conocimientos Funcionales</w:t>
            </w:r>
          </w:p>
        </w:tc>
        <w:tc>
          <w:tcPr>
            <w:tcW w:type="dxa" w:w="3600"/>
            <w:vAlign w:val="center"/>
          </w:tcPr>
          <w:p>
            <w:pPr>
              <w:jc w:val="left"/>
            </w:pPr>
            <w:r>
              <w:rPr>
                <w:color w:val="0000FF"/>
                <w:sz w:val="20"/>
                <w:u w:val="single"/>
              </w:rPr>
            </w:r>
            <w:hyperlink r:id="rId12">
              <w:r>
                <w:rPr>
                  <w:color w:val="0000FF"/>
                  <w:u w:val="single"/>
                  <w:sz w:val="20"/>
                </w:rPr>
                <w:t>https://campusvirtual.izyacademy.com/course/view.php?id=603</w:t>
              </w:r>
            </w:hyperlink>
          </w:p>
        </w:tc>
        <w:tc>
          <w:tcPr>
            <w:tcW w:type="dxa" w:w="1440"/>
            <w:vAlign w:val="center"/>
          </w:tcPr>
          <w:p>
            <w:pPr>
              <w:jc w:val="left"/>
            </w:pPr>
            <w:r>
              <w:rPr>
                <w:sz w:val="20"/>
              </w:rPr>
              <w:t>General</w:t>
            </w:r>
          </w:p>
        </w:tc>
        <w:tc>
          <w:tcPr>
            <w:tcW w:type="dxa" w:w="1152"/>
            <w:vAlign w:val="center"/>
          </w:tcPr>
          <w:p>
            <w:pPr>
              <w:jc w:val="left"/>
            </w:pPr>
            <w:r>
              <w:rPr>
                <w:sz w:val="20"/>
              </w:rPr>
              <w:t>30 minutos</w:t>
            </w:r>
          </w:p>
        </w:tc>
        <w:tc>
          <w:tcPr>
            <w:tcW w:type="dxa" w:w="1152"/>
            <w:vAlign w:val="center"/>
          </w:tcPr>
          <w:p>
            <w:pPr>
              <w:jc w:val="left"/>
            </w:pPr>
            <w:r>
              <w:rPr>
                <w:sz w:val="20"/>
              </w:rPr>
              <w:t>Español</w:t>
            </w:r>
          </w:p>
        </w:tc>
        <w:tc>
          <w:tcPr>
            <w:tcW w:type="dxa" w:w="1296"/>
            <w:vAlign w:val="center"/>
          </w:tcPr>
          <w:p>
            <w:pPr>
              <w:jc w:val="left"/>
            </w:pPr>
            <w:r>
              <w:rPr>
                <w:sz w:val="20"/>
              </w:rPr>
              <w:t>Si</w:t>
            </w:r>
          </w:p>
        </w:tc>
      </w:tr>
    </w:tbl>
    <w:p/>
    <w:p>
      <w:r>
        <w:rPr>
          <w:b/>
        </w:rPr>
        <w:t>Consideraciones para la presentación de la prueba:</w:t>
      </w:r>
    </w:p>
    <w:p/>
    <w:p>
      <w:r>
        <w:t>Actualmente usted es usuario(a) activo(a) en la plataforma, por favor, acceda a las pruebas con sus credenciales de acceso:</w:t>
      </w:r>
    </w:p>
    <w:p/>
    <w:p>
      <w:r>
        <w:rPr>
          <w:b/>
        </w:rPr>
        <w:t xml:space="preserve">Usuario: </w:t>
      </w:r>
      <w:r>
        <w:t>rudapenuela</w:t>
      </w:r>
    </w:p>
    <w:p>
      <w:r>
        <w:rPr>
          <w:b/>
        </w:rPr>
        <w:t xml:space="preserve">Contraseña: </w:t>
      </w:r>
      <w:r>
        <w:t>PmH*I*&amp;1C7</w:t>
      </w:r>
    </w:p>
    <w:p/>
    <w:p>
      <w:r>
        <w:rPr>
          <w:b w:val="0"/>
        </w:rPr>
        <w:t>1. La(s) prueba(s) se encuentra(n) activa(s) durante 24 horas:</w:t>
      </w:r>
    </w:p>
    <w:p/>
    <w:p>
      <w:r>
        <w:rPr>
          <w:b/>
        </w:rPr>
        <w:t xml:space="preserve">Fecha y Hora inicio: </w:t>
      </w:r>
      <w:r>
        <w:t>9 de Febrero de 2026, 01:12 PM</w:t>
      </w:r>
    </w:p>
    <w:p>
      <w:r>
        <w:rPr>
          <w:b/>
        </w:rPr>
        <w:t xml:space="preserve">Fecha y Hora Finalización: </w:t>
      </w:r>
      <w:r>
        <w:t>10 de Febrero de 2026, 01:12 PM</w:t>
      </w:r>
    </w:p>
    <w:p/>
    <w:p>
      <w:r>
        <w:t>2. Una vez terminada la prueba, es necesario dar respuesta a este correo informando que ya fue realizada.</w:t>
      </w:r>
    </w:p>
    <w:p/>
    <w:p>
      <w:r>
        <w:rPr>
          <w:b/>
        </w:rPr>
        <w:t>NOTAS:</w:t>
      </w:r>
    </w:p>
    <w:p/>
    <w:p>
      <w:r>
        <w:t>1. Evite buscar respuestas en línea, porque la plataforma registrará las ocasiones y el tiempo que salió de la ventana activa para la prueba en curso.</w:t>
      </w:r>
    </w:p>
    <w:p>
      <w:r>
        <w:t>2. En caso de tener cualquier inconveniente con la prueba, contacte a la generalista de People que está a cargo de su proceso de selección.</w:t>
      </w:r>
    </w:p>
    <w:p>
      <w:r>
        <w:t>3. En caso de ser asignado a pruebas Evalart, las instrucciones para realizarlas y el link de acceso le serán enviados en un correo adicional.</w:t>
      </w:r>
    </w:p>
    <w:p/>
    <w:p>
      <w:r>
        <w:rPr>
          <w:b/>
        </w:rPr>
        <w:t>🖥️ Instalación de la extensión de monitorización</w:t>
      </w:r>
    </w:p>
    <w:p/>
    <w:p>
      <w:r>
        <w:t xml:space="preserve">1. Revisa el siguiente </w:t>
      </w:r>
      <w:hyperlink r:id="rId13">
        <w:r>
          <w:rPr>
            <w:color w:val="0000FF"/>
            <w:u w:val="single"/>
            <w:b/>
          </w:rPr>
          <w:t>video tutorial</w:t>
        </w:r>
      </w:hyperlink>
      <w:r>
        <w:t xml:space="preserve"> para instalar la extensión </w:t>
      </w:r>
      <w:r>
        <w:rPr>
          <w:b/>
        </w:rPr>
        <w:t>SMOWL</w:t>
      </w:r>
      <w:r>
        <w:t xml:space="preserve"> en tu computador.</w:t>
      </w:r>
    </w:p>
    <w:p>
      <w:r>
        <w:t>2. Acepta los términos y condiciones explicados en el video anterior.</w:t>
      </w:r>
    </w:p>
    <w:p/>
    <w:p>
      <w:r>
        <w:t>Estamos atentos para apoyarte en lo que necesites.</w:t>
      </w:r>
    </w:p>
    <w:p/>
    <w:p>
      <w:r>
        <w:rPr>
          <w:b/>
        </w:rPr>
        <w:t>¡Éxitos en tu prueba!</w:t>
      </w:r>
    </w:p>
    <w:p/>
    <w:p>
      <w:r>
        <w:t>Cordialmente,</w:t>
      </w:r>
    </w:p>
    <w:p/>
    <w:p>
      <w:r>
        <w:drawing>
          <wp:inline xmlns:a="http://schemas.openxmlformats.org/drawingml/2006/main" xmlns:pic="http://schemas.openxmlformats.org/drawingml/2006/picture">
            <wp:extent cx="4114800" cy="1196537"/>
            <wp:docPr id="1" name="Picture 1"/>
            <wp:cNvGraphicFramePr>
              <a:graphicFrameLocks noChangeAspect="1"/>
            </wp:cNvGraphicFramePr>
            <a:graphic>
              <a:graphicData uri="http://schemas.openxmlformats.org/drawingml/2006/picture">
                <pic:pic>
                  <pic:nvPicPr>
                    <pic:cNvPr id="0" name="firma_qvision.jfif"/>
                    <pic:cNvPicPr/>
                  </pic:nvPicPr>
                  <pic:blipFill>
                    <a:blip r:embed="rId14"/>
                    <a:stretch>
                      <a:fillRect/>
                    </a:stretch>
                  </pic:blipFill>
                  <pic:spPr>
                    <a:xfrm>
                      <a:off x="0" y="0"/>
                      <a:ext cx="4114800" cy="1196537"/>
                    </a:xfrm>
                    <a:prstGeom prst="rect"/>
                  </pic:spPr>
                </pic:pic>
              </a:graphicData>
            </a:graphic>
          </wp:inline>
        </w:drawing>
      </w:r>
    </w:p>
    <w:p/>
    <w:p>
      <w:r>
        <w:rPr>
          <w:i/>
          <w:sz w:val="18"/>
        </w:rPr>
        <w:t>"Si recibes este correo por fuera de tu jornada laboral, puedes darle respuesta cuando retomes tu horario habitual, salvo causa de fuerza mayor o por circunstancias excepcionales establecidas en la política de desconexión laboral."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mpusvirtual.izyacademy.com/course/view.php?id=601" TargetMode="External"/><Relationship Id="rId10" Type="http://schemas.openxmlformats.org/officeDocument/2006/relationships/hyperlink" Target="https://campusvirtual.izyacademy.com/course/view.php?id=614" TargetMode="External"/><Relationship Id="rId11" Type="http://schemas.openxmlformats.org/officeDocument/2006/relationships/hyperlink" Target="https://campusvirtual.izyacademy.com/course/view.php?id=602" TargetMode="External"/><Relationship Id="rId12" Type="http://schemas.openxmlformats.org/officeDocument/2006/relationships/hyperlink" Target="https://campusvirtual.izyacademy.com/course/view.php?id=603" TargetMode="External"/><Relationship Id="rId13" Type="http://schemas.openxmlformats.org/officeDocument/2006/relationships/hyperlink" Target="https://vimeo.com/1123715258/6dbd0b736e?share=copy&amp;fl=sv&amp;fe=ci" TargetMode="External"/><Relationship Id="rId14" Type="http://schemas.openxmlformats.org/officeDocument/2006/relationships/image" Target="media/image1.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