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knvsqrhz1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Reporte de Aplicación de Artefactos: Glosario y Especificaciones Suplementarias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26 de noviembre de 2024</w:t>
        <w:br w:type="textWrapping"/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: Aplicación Empresarial para Agroquímicos</w:t>
        <w:br w:type="textWrapping"/>
      </w:r>
      <w:r w:rsidDel="00000000" w:rsidR="00000000" w:rsidRPr="00000000">
        <w:rPr>
          <w:b w:val="1"/>
          <w:rtl w:val="0"/>
        </w:rPr>
        <w:t xml:space="preserve">Elaborado por</w:t>
      </w:r>
      <w:r w:rsidDel="00000000" w:rsidR="00000000" w:rsidRPr="00000000">
        <w:rPr>
          <w:rtl w:val="0"/>
        </w:rPr>
        <w:t xml:space="preserve">: Erick Espinoza López, Alejandro Ávila Márquez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0" w:before="0" w:line="240" w:lineRule="auto"/>
        <w:rPr>
          <w:b w:val="1"/>
          <w:color w:val="000000"/>
          <w:sz w:val="22"/>
          <w:szCs w:val="22"/>
        </w:rPr>
      </w:pPr>
      <w:bookmarkStart w:colFirst="0" w:colLast="0" w:name="_j9n5yq1r365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Implementar los artefactos de </w:t>
      </w:r>
      <w:r w:rsidDel="00000000" w:rsidR="00000000" w:rsidRPr="00000000">
        <w:rPr>
          <w:rtl w:val="0"/>
        </w:rPr>
        <w:t xml:space="preserve">Glosario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Especificaciones Suplementarias </w:t>
      </w:r>
      <w:r w:rsidDel="00000000" w:rsidR="00000000" w:rsidRPr="00000000">
        <w:rPr>
          <w:rtl w:val="0"/>
        </w:rPr>
        <w:t xml:space="preserve">en el proyecto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 incorporación de un </w:t>
      </w:r>
      <w:r w:rsidDel="00000000" w:rsidR="00000000" w:rsidRPr="00000000">
        <w:rPr>
          <w:rtl w:val="0"/>
        </w:rPr>
        <w:t xml:space="preserve">Glosario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Especificaciones Suplementarias</w:t>
      </w:r>
      <w:r w:rsidDel="00000000" w:rsidR="00000000" w:rsidRPr="00000000">
        <w:rPr>
          <w:rtl w:val="0"/>
        </w:rPr>
        <w:t xml:space="preserve"> tiene como finalidad mejorar la comprensión y organización del proyecto. Estos artefactos complementarán los casos de uso y demás documentación.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De las Especificaciones Suplementarias, s</w:t>
      </w:r>
      <w:r w:rsidDel="00000000" w:rsidR="00000000" w:rsidRPr="00000000">
        <w:rPr>
          <w:rtl w:val="0"/>
        </w:rPr>
        <w:t xml:space="preserve">e incluirán los siguientes elementos: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Atributos de Calidad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Usabilidad: Interfaces intuitivas y adaptadas a usuarios con conocimientos básicos de tecnología.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Confiabilidad: Disponibilidad del sistema del 99% durante horas operativas y soporte para recuperación ante fallos.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Rendimiento: Tiempo de respuesta inferior a 2 segundos para consultas de inventario con hasta 1,000 productos.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Restricciones de Hardware/Software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Servidor con procesador de 4 núcleos, 8 GB de RAM y 100 GB de almacenamiento disponible.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Soporte para bases de datos MySQL o PostgreSQL.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Normativas Específicas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Cumplimiento con regulaciones locales y nacionales sobre manejo de agroquímicos, incluyendo etiquetado y trazabilidad.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0" w:before="0" w:line="240" w:lineRule="auto"/>
        <w:rPr>
          <w:color w:val="000000"/>
          <w:sz w:val="22"/>
          <w:szCs w:val="22"/>
        </w:rPr>
      </w:pPr>
      <w:bookmarkStart w:colFirst="0" w:colLast="0" w:name="_md3n1ulg0pc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0" w:before="0" w:line="240" w:lineRule="auto"/>
        <w:rPr>
          <w:color w:val="000000"/>
          <w:sz w:val="22"/>
          <w:szCs w:val="22"/>
        </w:rPr>
      </w:pPr>
      <w:bookmarkStart w:colFirst="0" w:colLast="0" w:name="_gljot31f8pb2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Del glosario se incluiara lo siguiente: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Se creará una lista de términos clave, Ejemplo: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Agroquímico</w:t>
      </w:r>
      <w:r w:rsidDel="00000000" w:rsidR="00000000" w:rsidRPr="00000000">
        <w:rPr>
          <w:rtl w:val="0"/>
        </w:rPr>
        <w:t xml:space="preserve">: Producto químico para mejorar la productividad agrícola, como fertilizantes y pesticidas.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Lote</w:t>
      </w:r>
      <w:r w:rsidDel="00000000" w:rsidR="00000000" w:rsidRPr="00000000">
        <w:rPr>
          <w:rtl w:val="0"/>
        </w:rPr>
        <w:t xml:space="preserve">: Conjunto de productos agroquímicos identificados por un código único.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Caducidad</w:t>
      </w:r>
      <w:r w:rsidDel="00000000" w:rsidR="00000000" w:rsidRPr="00000000">
        <w:rPr>
          <w:rtl w:val="0"/>
        </w:rPr>
        <w:t xml:space="preserve">: Fecha a partir de la cual el producto no debe utilizarse.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