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64748B"/>
          <w:sz w:val="20"/>
        </w:rPr>
        <w:t>II DATATHON LODCOREMADRID 2026 · UC3M &amp; COMUNIDAD DE MADRID</w:t>
        <w:br/>
        <w:t>FASE 1: PROPUESTA DE DISEÑO E IMPLEMENTACIÓN DE LA SOLUCIÓN</w:t>
      </w:r>
    </w:p>
    <w:p>
      <w:pPr>
        <w:spacing w:after="280"/>
      </w:pPr>
      <w:r>
        <w:rPr>
          <w:b/>
          <w:color w:val="1E6429"/>
          <w:sz w:val="40"/>
        </w:rPr>
        <w:t>OBSERVATORIO ICA MADRID ML</w:t>
        <w:br/>
        <w:t>Plataforma de Inteligencia Territorial, Modelos Predictivos AVM y Diagnóstico de Capacidad en Municipios &lt; 50.000 Habitantes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  <w:tcMar>
              <w:top w:w="140" w:type="dxa"/>
              <w:bottom w:w="140" w:type="dxa"/>
              <w:left w:w="180" w:type="dxa"/>
              <w:right w:w="160" w:type="dxa"/>
            </w:tcMar>
            <w:tcBorders>
              <w:top w:val="none"/>
              <w:left w:val="single" w:sz="36" w:space="0" w:color="1E642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E6429"/>
                <w:sz w:val="20"/>
              </w:rPr>
              <w:t xml:space="preserve">DECLARACIÓN DE MISIÓN Y PROPÓSITO: </w:t>
            </w:r>
            <w:r>
              <w:rPr>
                <w:color w:val="212529"/>
                <w:sz w:val="19"/>
              </w:rPr>
              <w:t>Ayudar a la Dirección General de Reequilibrio Territorial de la Comunidad de Madrid y a las entidades locales a identificar con rigor matemático qué municipios de menos de 50.000 habitantes pueden absorber nueva población de forma equilibrada, determinando cuellos de botella específicos, valoraciones inmobiliarias objetivas mediante Machine Learning (AVM) y recomendaciones para la ciudadanía.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Ámbito Geográfico: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Comunidad de Madrid (179 municipios, foco en los &lt; 50.000 hab.)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Destinatarios Principales: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Dirección General de Reequilibrio Territorial, Ayuntamientos, CRTM y Ciudadanos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Stack Tecnológico: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Python 3.12 (Scikit-Learn / Pandas) + Oracle Database 23ai + Oracle APEX 26.2 Cloud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Modelos de Machine Learning: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AVM Inmobiliario (Ridge/GBR), K-Means Clustering (4 Arquetipos), Recom. Ciudadano, Series Temp.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Fecha de Presentación: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Octubre de 2026 · Evento Oficial Campus de Leganés UC3M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1. Definición del Problema y A Quién va Dirigido</w:t>
      </w:r>
    </w:p>
    <w:p>
      <w:pPr>
        <w:spacing w:after="120"/>
      </w:pPr>
      <w:r>
        <w:t>La Comunidad de Madrid experimenta una marcada asimetría demográfica y espacial. Mientras el área metropolitana de Madrid capital y las grandes urbes sufren una severa tensión de precios en la vivienda, saturación en las líneas de transporte radial y listas de espera en centros de salud y guarderías, decenas de municipios de menos de 50.000 habitantes en la Sierra Norte, Sierra Oeste, Cuenca del Tajuña o Las Vegas cuentan con dotaciones escolares y sanitarias infrautilizadas, suelos urbanos desarrollables y excelente calidad ambiental.</w:t>
      </w:r>
    </w:p>
    <w:p>
      <w:pPr>
        <w:spacing w:after="200"/>
      </w:pPr>
      <w:r>
        <w:t>Nuestra solución responde a esta disyuntiva proporcionando un sistema de decisión basado en datos dirigido a dos públicos clave:</w:t>
        <w:br/>
        <w:t>• Para las Administraciones Públicas: Permite a la Dirección General de Reequilibrio Territorial y a los alcaldes priorizar inversiones dotacionales (CAPEX) y saber exactamente cuántos habitantes puede recibir un municipio antes de que colapse su centro de salud o su colegio.</w:t>
        <w:br/>
        <w:t>• Para los Ciudadanos: Un motor de recomendación inteligente que ayuda a familias, teletrabajadores y personas mayores a encontrar el municipio que mejor se ajusta a sus prioridades de vida.</w:t>
      </w:r>
    </w:p>
    <w:p>
      <w:pPr>
        <w:pStyle w:val="Heading1"/>
        <w:spacing w:before="280" w:after="120"/>
      </w:pPr>
      <w:r>
        <w:t>2. Inventario y Trazabilidad de Fuentes de Datos Oficiales</w:t>
      </w:r>
    </w:p>
    <w:p>
      <w:pPr>
        <w:spacing w:after="120"/>
      </w:pPr>
      <w:r>
        <w:t>En estricto cumplimiento de las bases del Datathon, se han integrado y cruzado conjuntos de datos abiertos de los organismos convocantes: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Organismo</w:t>
            </w:r>
          </w:p>
        </w:tc>
        <w:tc>
          <w:tcPr>
            <w:tcW w:type="dxa" w:w="2592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Dataset / Endpoint</w:t>
            </w:r>
          </w:p>
        </w:tc>
        <w:tc>
          <w:tcPr>
            <w:tcW w:type="dxa" w:w="2592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Variables Principales</w:t>
            </w:r>
          </w:p>
        </w:tc>
        <w:tc>
          <w:tcPr>
            <w:tcW w:type="dxa" w:w="2448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Uso en el Modelo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INE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API Tempus3 (Tabla 2881)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Padrón Continuo 2025, pirámide de edad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Filtro municipal &lt; 50k hab. y series temporales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IGN / NOMECALLES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Descargas Geográficas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Superficie km², centroides, límites WGS84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Densidad de población y posicionamiento APEX Maps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SERMAS (Sanidad CAM)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Portal Datos Abiertos CAM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Centros de salud, cupos de médicos AP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Cálculo de cupo sanitario y detección de saturación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EduCAM (Educación CAM)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Registro Centros Docentes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Centros escolares, plazas y matrícula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Cálculo de holgura escolar y plazas adicionales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CRTM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Portal Open Data &amp; GTFS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Paradas interurbanas, frecuencias, tiempo Sol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Dimensión de conectividad y accesibilidad laboral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Catastro &amp; Notarios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Sede Electrónica &amp; Portal CIEN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Suelo vacante, viviendas vacías, €/m² escriturado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Entrenamiento del modelo AVM y capacidad residencial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LoDCOREMadrid (UC3M)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Endpoint SPARQL RDF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Relaciones semánticas intermunicipales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Enriquecimiento contextual de equipamientos comarcales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3. Metodología y Modelos de Machine Learning Desarrollados</w:t>
      </w:r>
    </w:p>
    <w:p>
      <w:r>
        <w:t>A diferencia de los enfoques estáticos tradicionales, nuestra plataforma implementa un ecosistema analítico en cuatro niveles:</w:t>
      </w:r>
    </w:p>
    <w:p>
      <w:pPr>
        <w:pStyle w:val="Heading2"/>
      </w:pPr>
      <w:r>
        <w:t>3.1. Modelo AVM Inmobiliario (Automated Valuation Model)</w:t>
      </w:r>
    </w:p>
    <w:p>
      <w:r>
        <w:t>Mediante técnicas de regresión hedónica regularizada (Ridge / Gradient Boosting), el modelo predice el valor esperado del metro cuadrado (€/m²) en función del tiempo de viaje a Madrid, logaritmo de población, densidad, dotación de transporte y nivel de servicios sanitarios y educativos.</w:t>
        <w:br/>
        <w:t>• Detección de Brecha de Mercado (Market Gap): Se compara el precio real escriturado (Notarios) contra el precio predicho por el modelo. Una brecha inferior al -8% identifica 'Oportunidades Asequibles' (municipios de alta calidad con precio infravalorado), mientras que valores &gt; +8% señalizan 'Zonas Tensionadas'.</w:t>
      </w:r>
    </w:p>
    <w:p>
      <w:pPr>
        <w:pStyle w:val="Heading2"/>
      </w:pPr>
      <w:r>
        <w:t>3.2. Clustering No Supervisado: 4 Arquetipos Territoriales</w:t>
      </w:r>
    </w:p>
    <w:p>
      <w:r>
        <w:t>Se aplica un algoritmo K-Means determinista sobre el espacio vectorial estandarizado de los 179 municipios, segmentando la región en 4 arquetipos analíticos:</w:t>
        <w:br/>
        <w:t>1. Polo Residencial Periurbano en Crecimiento: Municipios &gt; 15.000 hab. con fuerte presión metropolitana y tensión en cupos de médicos de Atención Primaria.</w:t>
        <w:br/>
        <w:t>2. Retiro Silver Economy y Alta Calidad Ambiental: Municipios rurales o serranos con alta ratio de médicos por habitante, tranquilidad y entorno natural.</w:t>
        <w:br/>
        <w:t>3. Hub de Teletrabajo y Conectividad Comarcal: Enclaves medianos (4.000 a 10.000 hab.) con fibra FTTH masiva, buena comunicación y equilibrio dotacional.</w:t>
        <w:br/>
        <w:t>4. Reserva de Oportunidad Residencial y Suelo: Zonas con amplia disponibilidad de suelo urbano, precios reducidos y holgura en plazas escolares.</w:t>
      </w:r>
    </w:p>
    <w:p>
      <w:pPr>
        <w:pStyle w:val="Heading2"/>
      </w:pPr>
      <w:r>
        <w:t>3.3. Motor de Recomendación Multicriterio para Ciudadanos</w:t>
      </w:r>
    </w:p>
    <w:p>
      <w:r>
        <w:t>El portal ciudadano ofrece un recomendador basado en filtrado vectorial que asigna puntuaciones de afinidad (0 a 100) según cuatro perfiles de usuario: Familias con Hijos (priorizando colegios y consultorios), Jóvenes Teletrabajadores (priorizando fibra y transporte rápido), Seniors (priorizando cercanía asistencial y baja densidad) e Inversores Locales (priorizando suelo y holgura global).</w:t>
      </w:r>
    </w:p>
    <w:p>
      <w:pPr>
        <w:pStyle w:val="Heading2"/>
      </w:pPr>
      <w:r>
        <w:t>3.4. Simulación Predictiva de Series Temporales y Horizonte de Saturación</w:t>
      </w:r>
    </w:p>
    <w:p>
      <w:r>
        <w:t>Proyectando el crecimiento demográfico a 2027, 2029 y 2031, el sistema contrasta la demanda futura frente a los techos dotacionales (1.500 habitantes por médico de familia del SERMAS y 95% de aforo escolar de EduCAM), calculando el Año de Saturación y emitiendo alertas automáticas de 'URGENTE REFUERZO' cuando el municipio colapsará en menos de 3 años si no se asigna presupuesto.</w:t>
      </w:r>
    </w:p>
    <w:p>
      <w:pPr>
        <w:pStyle w:val="Heading2"/>
      </w:pPr>
      <w:r>
        <w:t>3.5. Explicabilidad y Confianza en la IA (XAI - SHAP Values)</w:t>
      </w:r>
    </w:p>
    <w:p>
      <w:r>
        <w:t>En concordancia con los principios de IA explicable presentados por Oracle, cada cálculo del ICA y predicción AVM se acompaña de sus atribuciones aditivas SHAP, desglosando exactamente qué factores suman o restan puntuación, eliminando la opacidad y facilitando la defensa de expedientes ante el jurado y la ciudadanía.</w:t>
      </w:r>
    </w:p>
    <w:p>
      <w:pPr>
        <w:pStyle w:val="Heading1"/>
        <w:spacing w:before="280" w:after="120"/>
      </w:pPr>
      <w:r>
        <w:t>4. Resultados Cuantitativos del Piloto y Hallazgos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728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Municipio</w:t>
            </w:r>
          </w:p>
        </w:tc>
        <w:tc>
          <w:tcPr>
            <w:tcW w:type="dxa" w:w="1440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Comarca</w:t>
            </w:r>
          </w:p>
        </w:tc>
        <w:tc>
          <w:tcPr>
            <w:tcW w:type="dxa" w:w="1008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Pob. 2025</w:t>
            </w:r>
          </w:p>
        </w:tc>
        <w:tc>
          <w:tcPr>
            <w:tcW w:type="dxa" w:w="1296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ICA (0-100)</w:t>
            </w:r>
          </w:p>
        </w:tc>
        <w:tc>
          <w:tcPr>
            <w:tcW w:type="dxa" w:w="1584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Arquetipo ML</w:t>
            </w:r>
          </w:p>
        </w:tc>
        <w:tc>
          <w:tcPr>
            <w:tcW w:type="dxa" w:w="1152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Factor Límite</w:t>
            </w:r>
          </w:p>
        </w:tc>
        <w:tc>
          <w:tcPr>
            <w:tcW w:type="dxa" w:w="720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Año Límite</w:t>
            </w:r>
          </w:p>
        </w:tc>
        <w:tc>
          <w:tcPr>
            <w:tcW w:type="dxa" w:w="1296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Alerta Planificación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Robledo de Chavela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Sierra Oeste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4.818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66.74 (ALTA)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Hub Teletrabajo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EDUCACIÓN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2038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ESTABLE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Buitrago del Lozoya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Sierra Norte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2.034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62.49 (ALTA)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Retiro Silver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VIVIENDA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2044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ESTABLE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Montejo de la Sierra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Sierra Norte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404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59.94 (MEDIA)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Retiro Silver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EDUCACIÓN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2034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ESTABLE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Villarejo de Salvanés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Las Vegas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8.042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47.78 (MEDIA)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Oportunidad Suelo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SANIDAD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2027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URGENTE REFUERZO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Ciempozuelos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Las Vegas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26.350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24.97 (BAJA)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Polo Periurbano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SANIDAD</w:t>
            </w:r>
          </w:p>
        </w:tc>
        <w:tc>
          <w:tcPr>
            <w:tcW w:type="dxa" w:w="7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2025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URGENTE REFUERZO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Navalcarnero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Comarca Sur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33.331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24.28 (BAJA)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Polo Periurbano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SANIDAD</w:t>
            </w:r>
          </w:p>
        </w:tc>
        <w:tc>
          <w:tcPr>
            <w:tcW w:type="dxa" w:w="72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12529"/>
                <w:sz w:val="17"/>
              </w:rPr>
              <w:t>2025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URGENTE REFUERZO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5. Despliegue en Oracle Cloud Infrastructure y Oracle APEX</w:t>
      </w:r>
    </w:p>
    <w:p>
      <w:r>
        <w:t>La solución almacena los datos maestros y las predicciones en Oracle Database 23ai bajo el esquema implementado en 01_ddl_schema.sql y 04_ddl_ml_schema.sql, con claves foráneas compartidas 1:1, columnas virtuales deterministas (DENSIDAD, OCUPACION_ESCOLAR) y la vista analítica V_MUNICIPIOS_ML_APEX.</w:t>
        <w:br/>
        <w:t>Sobre esta infraestructura se despliegan tres pantallas en Oracle APEX:</w:t>
        <w:br/>
        <w:t>1. Dashboard Territorial: Mapa interactivo con pines coloreados según el arquetipo ML y tarjetas KPI agregadas.</w:t>
        <w:br/>
        <w:t>2. Explorador Multidimensional: Tabla interactiva con filtros facetados por comarca, alertas de saturación y exportación nativa a Excel/PDF.</w:t>
        <w:br/>
        <w:t>3. Ficha Municipal y Simulador What-If: Calculadora reactiva donde el usuario simula la llegada de N familias y el sistema calcula en vivo el coste presupuestario (CAPEX) en euros.</w:t>
      </w:r>
    </w:p>
    <w:p>
      <w:pPr>
        <w:pStyle w:val="Heading1"/>
        <w:spacing w:before="280" w:after="120"/>
      </w:pPr>
      <w:r>
        <w:t>6. Plan de Trabajo y Defensa Presencial (29 de Octubre)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Fase / Periodo</w:t>
            </w:r>
          </w:p>
        </w:tc>
        <w:tc>
          <w:tcPr>
            <w:tcW w:type="dxa" w:w="3600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Objetivo Operativo</w:t>
            </w:r>
          </w:p>
        </w:tc>
        <w:tc>
          <w:tcPr>
            <w:tcW w:type="dxa" w:w="3600"/>
            <w:shd w:fill="1E642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Entregables Asociados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15 – 19 Octubre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Ingesta Masiva y Enriquecimiento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Carga de los 179 municipios con Padrón INE 2025 y paradas CRTM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20 – 24 Octubre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Calibración ML y Semántica LoDCORE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Modelos AVM y K-Means afinados con SPARQL LoDCOREMadrid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25 – 27 Octubre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Desarrollo de Pantallas APEX Cloud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Configuración de mapas, reportes interactivos y simulador What-If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28 Octubre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Pruebas de Usabilidad y Ensayos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Control de tiempos y validación de la demo de 10 minutos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29 Octubre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Defensa Presencial ante el Jurado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212529"/>
                <w:sz w:val="17"/>
              </w:rPr>
              <w:t>Presentación en directo en el Campus de Leganés de la UC3M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