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D9A" w14:textId="67510512" w:rsidR="005C4AE1" w:rsidRPr="004C6044" w:rsidRDefault="004C6044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Causalidad del IPRI en el IPC</w:t>
      </w:r>
    </w:p>
    <w:p w14:paraId="37DA85B8" w14:textId="0B9274F0" w:rsidR="000D46E9" w:rsidRDefault="000D46E9">
      <w:pPr>
        <w:rPr>
          <w:lang w:val="es-ES"/>
        </w:rPr>
      </w:pPr>
    </w:p>
    <w:p w14:paraId="381D05E2" w14:textId="4C77A75E" w:rsidR="00BB63CA" w:rsidRDefault="00BB63CA" w:rsidP="00BB63CA">
      <w:pPr>
        <w:jc w:val="both"/>
        <w:rPr>
          <w:lang w:val="es-ES"/>
        </w:rPr>
      </w:pPr>
      <w:r>
        <w:rPr>
          <w:lang w:val="es-ES"/>
        </w:rPr>
        <w:t>Queremos analizar el impacto del IPRI en el IPC para poder evaluar en qué medida la evolución de los precios industriales se traslada a los precios al consumo.</w:t>
      </w:r>
    </w:p>
    <w:p w14:paraId="255C9811" w14:textId="6C4292A0" w:rsidR="00BB63CA" w:rsidRDefault="00BB63CA" w:rsidP="00BB63CA">
      <w:pPr>
        <w:jc w:val="both"/>
        <w:rPr>
          <w:lang w:val="es-ES"/>
        </w:rPr>
      </w:pPr>
    </w:p>
    <w:p w14:paraId="31C28CC5" w14:textId="77777777" w:rsidR="007669FD" w:rsidRDefault="00BB63CA" w:rsidP="00BB63CA">
      <w:pPr>
        <w:jc w:val="both"/>
        <w:rPr>
          <w:lang w:val="es-ES"/>
        </w:rPr>
      </w:pPr>
      <w:r>
        <w:rPr>
          <w:lang w:val="es-ES"/>
        </w:rPr>
        <w:t xml:space="preserve">Para ello utilizaremos el concepto de causalidad de </w:t>
      </w:r>
      <w:proofErr w:type="spellStart"/>
      <w:r>
        <w:rPr>
          <w:lang w:val="es-ES"/>
        </w:rPr>
        <w:t>Granger</w:t>
      </w:r>
      <w:proofErr w:type="spellEnd"/>
      <w:r>
        <w:rPr>
          <w:lang w:val="es-ES"/>
        </w:rPr>
        <w:t>, que establece que una serie temporal X (un nuestro caso el IPRI) causa-</w:t>
      </w:r>
      <w:proofErr w:type="spellStart"/>
      <w:r>
        <w:rPr>
          <w:lang w:val="es-ES"/>
        </w:rPr>
        <w:t>granger</w:t>
      </w:r>
      <w:proofErr w:type="spellEnd"/>
      <w:r>
        <w:rPr>
          <w:lang w:val="es-ES"/>
        </w:rPr>
        <w:t xml:space="preserve"> una serie temporal Y (en nuestro caso el IPC) si la predicción de </w:t>
      </w:r>
      <w:r w:rsidR="007669FD">
        <w:rPr>
          <w:lang w:val="es-ES"/>
        </w:rPr>
        <w:t>Y</w:t>
      </w:r>
      <w:r>
        <w:rPr>
          <w:lang w:val="es-ES"/>
        </w:rPr>
        <w:t xml:space="preserve"> dados los valores pasados de X e Y </w:t>
      </w:r>
      <w:proofErr w:type="spellStart"/>
      <w:r>
        <w:rPr>
          <w:lang w:val="es-ES"/>
        </w:rPr>
        <w:t>s</w:t>
      </w:r>
      <w:r w:rsidR="007669FD">
        <w:rPr>
          <w:lang w:val="es-ES"/>
        </w:rPr>
        <w:t>es</w:t>
      </w:r>
      <w:proofErr w:type="spellEnd"/>
      <w:r>
        <w:rPr>
          <w:lang w:val="es-ES"/>
        </w:rPr>
        <w:t xml:space="preserve"> mejor que la predicción de </w:t>
      </w:r>
      <w:r w:rsidR="007669FD">
        <w:rPr>
          <w:lang w:val="es-ES"/>
        </w:rPr>
        <w:t>Y</w:t>
      </w:r>
      <w:r>
        <w:rPr>
          <w:lang w:val="es-ES"/>
        </w:rPr>
        <w:t xml:space="preserve"> dado sólo los valores de </w:t>
      </w:r>
      <w:r w:rsidR="007669FD">
        <w:rPr>
          <w:lang w:val="es-ES"/>
        </w:rPr>
        <w:t>Y</w:t>
      </w:r>
      <w:r>
        <w:rPr>
          <w:lang w:val="es-ES"/>
        </w:rPr>
        <w:t>. Es decir, decimos que X causa-</w:t>
      </w:r>
      <w:proofErr w:type="spellStart"/>
      <w:r>
        <w:rPr>
          <w:lang w:val="es-ES"/>
        </w:rPr>
        <w:t>granger</w:t>
      </w:r>
      <w:proofErr w:type="spellEnd"/>
      <w:r>
        <w:rPr>
          <w:lang w:val="es-ES"/>
        </w:rPr>
        <w:t xml:space="preserve"> Y cuando X</w:t>
      </w:r>
      <w:r w:rsidR="007669FD">
        <w:rPr>
          <w:lang w:val="es-ES"/>
        </w:rPr>
        <w:t xml:space="preserve"> el conocimiento de los valores pasados de X aporta capacidad predictiva.</w:t>
      </w:r>
    </w:p>
    <w:p w14:paraId="66B1C4C0" w14:textId="77777777" w:rsidR="007669FD" w:rsidRDefault="007669FD" w:rsidP="00BB63CA">
      <w:pPr>
        <w:jc w:val="both"/>
        <w:rPr>
          <w:lang w:val="es-ES"/>
        </w:rPr>
      </w:pPr>
    </w:p>
    <w:p w14:paraId="494B8FFB" w14:textId="30F2C66D" w:rsidR="007669FD" w:rsidRDefault="007669FD" w:rsidP="00BB63CA">
      <w:pPr>
        <w:jc w:val="both"/>
        <w:rPr>
          <w:lang w:val="es-ES"/>
        </w:rPr>
      </w:pPr>
      <w:proofErr w:type="gramStart"/>
      <w:r>
        <w:rPr>
          <w:lang w:val="es-ES"/>
        </w:rPr>
        <w:t>El test</w:t>
      </w:r>
      <w:proofErr w:type="gramEnd"/>
      <w:r>
        <w:rPr>
          <w:lang w:val="es-ES"/>
        </w:rPr>
        <w:t xml:space="preserve"> de causalidad-</w:t>
      </w:r>
      <w:proofErr w:type="spellStart"/>
      <w:r>
        <w:rPr>
          <w:lang w:val="es-ES"/>
        </w:rPr>
        <w:t>granger</w:t>
      </w:r>
      <w:proofErr w:type="spellEnd"/>
      <w:r>
        <w:rPr>
          <w:lang w:val="es-ES"/>
        </w:rPr>
        <w:t xml:space="preserve"> plantea la hipótesis nula</w:t>
      </w:r>
      <w:r w:rsidR="00371930">
        <w:rPr>
          <w:lang w:val="es-ES"/>
        </w:rPr>
        <w:t>:</w:t>
      </w:r>
      <w:r>
        <w:rPr>
          <w:lang w:val="es-ES"/>
        </w:rPr>
        <w:t xml:space="preserve"> “</w:t>
      </w:r>
      <w:r w:rsidR="00371930">
        <w:rPr>
          <w:lang w:val="es-ES"/>
        </w:rPr>
        <w:t>n</w:t>
      </w:r>
      <w:r>
        <w:rPr>
          <w:lang w:val="es-ES"/>
        </w:rPr>
        <w:t xml:space="preserve">o hay causalidad” frente a la hipótesis alternativa “hay causalidad”. Por lo </w:t>
      </w:r>
      <w:r w:rsidR="00371930">
        <w:rPr>
          <w:lang w:val="es-ES"/>
        </w:rPr>
        <w:t>tanto,</w:t>
      </w:r>
      <w:r>
        <w:rPr>
          <w:lang w:val="es-ES"/>
        </w:rPr>
        <w:t xml:space="preserve"> se rechaza o no se rechaza la hipótesis “</w:t>
      </w:r>
      <w:r w:rsidR="00371930">
        <w:rPr>
          <w:lang w:val="es-ES"/>
        </w:rPr>
        <w:t>n</w:t>
      </w:r>
      <w:r>
        <w:rPr>
          <w:lang w:val="es-ES"/>
        </w:rPr>
        <w:t>o hay causalidad”</w:t>
      </w:r>
    </w:p>
    <w:p w14:paraId="02BEF9A7" w14:textId="77777777" w:rsidR="007669FD" w:rsidRDefault="007669FD" w:rsidP="00BB63CA">
      <w:pPr>
        <w:jc w:val="both"/>
        <w:rPr>
          <w:lang w:val="es-ES"/>
        </w:rPr>
      </w:pPr>
    </w:p>
    <w:p w14:paraId="7FE9B47A" w14:textId="70DA1C55" w:rsidR="00371930" w:rsidRDefault="007669FD" w:rsidP="00BB63CA">
      <w:pPr>
        <w:jc w:val="both"/>
        <w:rPr>
          <w:lang w:val="es-ES"/>
        </w:rPr>
      </w:pPr>
      <w:r>
        <w:rPr>
          <w:lang w:val="es-ES"/>
        </w:rPr>
        <w:t xml:space="preserve">Se plantean dos modelos de </w:t>
      </w:r>
      <w:r w:rsidR="00371930">
        <w:rPr>
          <w:lang w:val="es-ES"/>
        </w:rPr>
        <w:t>regresión</w:t>
      </w:r>
      <w:r>
        <w:rPr>
          <w:lang w:val="es-ES"/>
        </w:rPr>
        <w:t xml:space="preserve"> para la variable Y. Uno de ellos, el modelo restringido, se toman como </w:t>
      </w:r>
      <w:proofErr w:type="spellStart"/>
      <w:r w:rsidR="00371930">
        <w:rPr>
          <w:lang w:val="es-ES"/>
        </w:rPr>
        <w:t>regresores</w:t>
      </w:r>
      <w:proofErr w:type="spellEnd"/>
      <w:r>
        <w:rPr>
          <w:lang w:val="es-ES"/>
        </w:rPr>
        <w:t xml:space="preserve"> </w:t>
      </w:r>
      <w:r w:rsidR="00371930">
        <w:rPr>
          <w:lang w:val="es-ES"/>
        </w:rPr>
        <w:t xml:space="preserve">los </w:t>
      </w:r>
      <w:r>
        <w:rPr>
          <w:lang w:val="es-ES"/>
        </w:rPr>
        <w:t>retrasos de Y. En el otro modelo, el modelo no restringido,</w:t>
      </w:r>
      <w:r w:rsidR="00371930">
        <w:rPr>
          <w:lang w:val="es-ES"/>
        </w:rPr>
        <w:t xml:space="preserve"> se toman como </w:t>
      </w:r>
      <w:proofErr w:type="spellStart"/>
      <w:r w:rsidR="00371930">
        <w:rPr>
          <w:lang w:val="es-ES"/>
        </w:rPr>
        <w:t>regresores</w:t>
      </w:r>
      <w:proofErr w:type="spellEnd"/>
      <w:r w:rsidR="00371930">
        <w:rPr>
          <w:lang w:val="es-ES"/>
        </w:rPr>
        <w:t xml:space="preserve"> los retrasos de Y </w:t>
      </w:r>
      <w:proofErr w:type="spellStart"/>
      <w:r w:rsidR="00371930">
        <w:rPr>
          <w:lang w:val="es-ES"/>
        </w:rPr>
        <w:t>y</w:t>
      </w:r>
      <w:proofErr w:type="spellEnd"/>
      <w:r w:rsidR="00371930">
        <w:rPr>
          <w:lang w:val="es-ES"/>
        </w:rPr>
        <w:t xml:space="preserve"> de X.</w:t>
      </w:r>
    </w:p>
    <w:p w14:paraId="2B91C4FC" w14:textId="123ECE64" w:rsidR="00371930" w:rsidRDefault="00371930" w:rsidP="00BB63CA">
      <w:pPr>
        <w:jc w:val="both"/>
        <w:rPr>
          <w:lang w:val="es-ES"/>
        </w:rPr>
      </w:pPr>
    </w:p>
    <w:p w14:paraId="0E8099D0" w14:textId="6EBAFBFA" w:rsidR="00371930" w:rsidRDefault="00371930" w:rsidP="00BB63CA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Modelo restringido:         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t-1</m:t>
            </m:r>
          </m:sub>
        </m:sSub>
        <m:r>
          <w:rPr>
            <w:rFonts w:ascii="Cambria Math" w:hAnsi="Cambria Math"/>
            <w:lang w:val="es-ES"/>
          </w:rPr>
          <m:t>+…+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t-p</m:t>
            </m:r>
          </m:sub>
        </m:sSub>
        <m:r>
          <w:rPr>
            <w:rFonts w:ascii="Cambria Math" w:hAnsi="Cambria Math"/>
            <w:lang w:val="es-ES"/>
          </w:rPr>
          <m:t>+ε</m:t>
        </m:r>
      </m:oMath>
    </w:p>
    <w:p w14:paraId="56966208" w14:textId="65B38000" w:rsidR="00371930" w:rsidRDefault="00371930" w:rsidP="00BB63CA">
      <w:pPr>
        <w:jc w:val="both"/>
        <w:rPr>
          <w:lang w:val="es-ES"/>
        </w:rPr>
      </w:pPr>
      <w:r>
        <w:rPr>
          <w:rFonts w:eastAsiaTheme="minorEastAsia"/>
          <w:lang w:val="es-ES"/>
        </w:rPr>
        <w:t xml:space="preserve">Modelo no restringido:   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t-1</m:t>
            </m:r>
          </m:sub>
        </m:sSub>
        <m:r>
          <w:rPr>
            <w:rFonts w:ascii="Cambria Math" w:hAnsi="Cambria Math"/>
            <w:lang w:val="es-ES"/>
          </w:rPr>
          <m:t>+…+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β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y</m:t>
            </m:r>
          </m:e>
          <m:sub>
            <m:r>
              <w:rPr>
                <w:rFonts w:ascii="Cambria Math" w:hAnsi="Cambria Math"/>
                <w:lang w:val="es-ES"/>
              </w:rPr>
              <m:t>t-p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α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t-1</m:t>
            </m:r>
          </m:sub>
        </m:sSub>
        <m:r>
          <w:rPr>
            <w:rFonts w:ascii="Cambria Math" w:hAnsi="Cambria Math"/>
            <w:lang w:val="es-ES"/>
          </w:rPr>
          <m:t>+…+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α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t-p</m:t>
            </m:r>
          </m:sub>
        </m:sSub>
        <m:r>
          <w:rPr>
            <w:rFonts w:ascii="Cambria Math" w:hAnsi="Cambria Math"/>
            <w:lang w:val="es-ES"/>
          </w:rPr>
          <m:t>+η</m:t>
        </m:r>
      </m:oMath>
    </w:p>
    <w:p w14:paraId="60289E72" w14:textId="77777777" w:rsidR="00371930" w:rsidRDefault="00371930" w:rsidP="00BB63CA">
      <w:pPr>
        <w:jc w:val="both"/>
        <w:rPr>
          <w:lang w:val="es-ES"/>
        </w:rPr>
      </w:pPr>
    </w:p>
    <w:p w14:paraId="26648C53" w14:textId="77777777" w:rsidR="00823F11" w:rsidRDefault="00371930" w:rsidP="00BB63CA">
      <w:pPr>
        <w:jc w:val="both"/>
        <w:rPr>
          <w:lang w:val="es-ES"/>
        </w:rPr>
      </w:pPr>
      <w:r>
        <w:rPr>
          <w:lang w:val="es-ES"/>
        </w:rPr>
        <w:t xml:space="preserve">A partir </w:t>
      </w:r>
      <w:r w:rsidR="00823F11">
        <w:rPr>
          <w:lang w:val="es-ES"/>
        </w:rPr>
        <w:t>de la suma de los errores al cuadrado de esos modelos se calcula el estadístico:</w:t>
      </w:r>
    </w:p>
    <w:p w14:paraId="0860F4A1" w14:textId="77777777" w:rsidR="00823F11" w:rsidRDefault="00823F11" w:rsidP="00BB63CA">
      <w:pPr>
        <w:jc w:val="both"/>
        <w:rPr>
          <w:lang w:val="es-ES"/>
        </w:rPr>
      </w:pPr>
    </w:p>
    <w:p w14:paraId="256136CC" w14:textId="77777777" w:rsidR="00823F11" w:rsidRDefault="00823F11" w:rsidP="00BB63CA">
      <w:pPr>
        <w:jc w:val="both"/>
        <w:rPr>
          <w:lang w:val="es-ES"/>
        </w:rPr>
      </w:pPr>
    </w:p>
    <w:p w14:paraId="077C7398" w14:textId="15DA039B" w:rsidR="00BB63CA" w:rsidRDefault="00823F11" w:rsidP="00BB63CA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SSE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SSE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NR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SSE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NR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n-2p-1</m:t>
                      </m:r>
                    </m:e>
                  </m:d>
                </m:den>
              </m:f>
            </m:den>
          </m:f>
        </m:oMath>
      </m:oMathPara>
    </w:p>
    <w:p w14:paraId="505A40B5" w14:textId="62B271E0" w:rsidR="007669FD" w:rsidRDefault="007669FD" w:rsidP="00BB63CA">
      <w:pPr>
        <w:jc w:val="both"/>
        <w:rPr>
          <w:lang w:val="es-ES"/>
        </w:rPr>
      </w:pPr>
    </w:p>
    <w:p w14:paraId="72C78805" w14:textId="1E4E1DE3" w:rsidR="00823F11" w:rsidRDefault="005079EE" w:rsidP="00BB63CA">
      <w:pPr>
        <w:jc w:val="both"/>
        <w:rPr>
          <w:lang w:val="es-ES"/>
        </w:rPr>
      </w:pPr>
      <w:r>
        <w:rPr>
          <w:lang w:val="es-ES"/>
        </w:rPr>
        <w:t>Que nos permite rechazar la hipótesis nula en función del nivel de confianza y del parámetro p elegido</w:t>
      </w:r>
    </w:p>
    <w:p w14:paraId="04578385" w14:textId="77777777" w:rsidR="005079EE" w:rsidRDefault="005079EE" w:rsidP="00BB63CA">
      <w:pPr>
        <w:jc w:val="both"/>
        <w:rPr>
          <w:lang w:val="es-ES"/>
        </w:rPr>
      </w:pPr>
    </w:p>
    <w:p w14:paraId="52490006" w14:textId="680AA6E7" w:rsidR="005B0854" w:rsidRDefault="005B0854" w:rsidP="00BB63CA">
      <w:pPr>
        <w:jc w:val="both"/>
        <w:rPr>
          <w:lang w:val="es-ES"/>
        </w:rPr>
      </w:pPr>
      <w:r>
        <w:rPr>
          <w:lang w:val="es-ES"/>
        </w:rPr>
        <w:t>Notas:</w:t>
      </w:r>
    </w:p>
    <w:p w14:paraId="7BB1D916" w14:textId="4E07FD08" w:rsidR="005B0854" w:rsidRDefault="005B0854" w:rsidP="001260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604F">
        <w:rPr>
          <w:lang w:val="es-ES"/>
        </w:rPr>
        <w:t>El parámetro p se puede escoger con algún criterio para</w:t>
      </w:r>
      <w:r w:rsidR="0012604F" w:rsidRPr="0012604F">
        <w:rPr>
          <w:lang w:val="es-ES"/>
        </w:rPr>
        <w:t xml:space="preserve"> optimizar el modelo restringido, por ejemplo, </w:t>
      </w:r>
      <w:proofErr w:type="spellStart"/>
      <w:r w:rsidR="0012604F" w:rsidRPr="0012604F">
        <w:rPr>
          <w:lang w:val="es-ES"/>
        </w:rPr>
        <w:t>Akaike</w:t>
      </w:r>
      <w:proofErr w:type="spellEnd"/>
    </w:p>
    <w:p w14:paraId="23830841" w14:textId="45153F46" w:rsidR="005079EE" w:rsidRPr="0012604F" w:rsidRDefault="005079EE" w:rsidP="001260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Podemos tomar inicialmente un nivel de confianza del 95%</w:t>
      </w:r>
    </w:p>
    <w:p w14:paraId="3BDD7E01" w14:textId="22280B94" w:rsidR="0012604F" w:rsidRPr="0012604F" w:rsidRDefault="0012604F" w:rsidP="001260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604F">
        <w:rPr>
          <w:lang w:val="es-ES"/>
        </w:rPr>
        <w:t>Las series X e Y deben ser estacionarias. Si no los son es necesario hacer alguna transformación para conseguir que sean estacionarias (hasta dos diferenciaciones del índice)</w:t>
      </w:r>
    </w:p>
    <w:p w14:paraId="33B9E01D" w14:textId="7CD79418" w:rsidR="0012604F" w:rsidRDefault="0012604F" w:rsidP="00BB63CA">
      <w:pPr>
        <w:jc w:val="both"/>
        <w:rPr>
          <w:lang w:val="es-ES"/>
        </w:rPr>
      </w:pPr>
    </w:p>
    <w:p w14:paraId="75595B92" w14:textId="38E2259E" w:rsidR="0012604F" w:rsidRDefault="0012604F" w:rsidP="00BB63CA">
      <w:pPr>
        <w:jc w:val="both"/>
        <w:rPr>
          <w:lang w:val="es-ES"/>
        </w:rPr>
      </w:pPr>
      <w:r>
        <w:rPr>
          <w:lang w:val="es-ES"/>
        </w:rPr>
        <w:t>Se analiza la causalidad-</w:t>
      </w:r>
      <w:proofErr w:type="spellStart"/>
      <w:r>
        <w:rPr>
          <w:lang w:val="es-ES"/>
        </w:rPr>
        <w:t>granger</w:t>
      </w:r>
      <w:proofErr w:type="spellEnd"/>
      <w:r>
        <w:rPr>
          <w:lang w:val="es-ES"/>
        </w:rPr>
        <w:t xml:space="preserve"> tanto para las series del IPRI y del IPC como para todos los cruces de su primer nivel de desagregación.</w:t>
      </w:r>
    </w:p>
    <w:p w14:paraId="56C9E894" w14:textId="77777777" w:rsidR="00486BE5" w:rsidRDefault="00486BE5" w:rsidP="00BB63CA">
      <w:pPr>
        <w:jc w:val="both"/>
        <w:rPr>
          <w:lang w:val="es-ES"/>
        </w:rPr>
      </w:pPr>
    </w:p>
    <w:p w14:paraId="380EDF5C" w14:textId="771C2686" w:rsidR="0012604F" w:rsidRDefault="0012604F" w:rsidP="00BB63CA">
      <w:pPr>
        <w:jc w:val="both"/>
        <w:rPr>
          <w:lang w:val="es-ES"/>
        </w:rPr>
      </w:pPr>
      <w:r>
        <w:rPr>
          <w:lang w:val="es-ES"/>
        </w:rPr>
        <w:t xml:space="preserve">Para el IPC se consideran los 12 grupos del ECOICOP y para el IPR </w:t>
      </w:r>
      <w:r w:rsidR="00486BE5">
        <w:rPr>
          <w:lang w:val="es-ES"/>
        </w:rPr>
        <w:t xml:space="preserve">4 secciones </w:t>
      </w:r>
      <w:r>
        <w:rPr>
          <w:lang w:val="es-ES"/>
        </w:rPr>
        <w:t>del CNAE</w:t>
      </w:r>
    </w:p>
    <w:p w14:paraId="7974E8A9" w14:textId="2A3C6DDD" w:rsidR="00236579" w:rsidRDefault="0012604F" w:rsidP="00BB63CA">
      <w:pPr>
        <w:jc w:val="both"/>
        <w:rPr>
          <w:lang w:val="es-ES"/>
        </w:rPr>
      </w:pPr>
      <w:r>
        <w:rPr>
          <w:lang w:val="es-ES"/>
        </w:rPr>
        <w:t xml:space="preserve">Por lo </w:t>
      </w:r>
      <w:r w:rsidR="00236579">
        <w:rPr>
          <w:lang w:val="es-ES"/>
        </w:rPr>
        <w:t>tanto,</w:t>
      </w:r>
      <w:r>
        <w:rPr>
          <w:lang w:val="es-ES"/>
        </w:rPr>
        <w:t xml:space="preserve"> se va a analizar si existe causalidad 12*</w:t>
      </w:r>
      <w:r w:rsidR="00486BE5">
        <w:rPr>
          <w:lang w:val="es-ES"/>
        </w:rPr>
        <w:t>4</w:t>
      </w:r>
      <w:r>
        <w:rPr>
          <w:lang w:val="es-ES"/>
        </w:rPr>
        <w:t xml:space="preserve"> = </w:t>
      </w:r>
      <w:r w:rsidR="00486BE5">
        <w:rPr>
          <w:lang w:val="es-ES"/>
        </w:rPr>
        <w:t>48</w:t>
      </w:r>
      <w:r>
        <w:rPr>
          <w:lang w:val="es-ES"/>
        </w:rPr>
        <w:t xml:space="preserve"> pares de series (12 grupos de ECOICOP * </w:t>
      </w:r>
      <w:r w:rsidR="00486BE5">
        <w:rPr>
          <w:lang w:val="es-ES"/>
        </w:rPr>
        <w:t>4 secciones</w:t>
      </w:r>
      <w:r w:rsidR="00236579">
        <w:rPr>
          <w:lang w:val="es-ES"/>
        </w:rPr>
        <w:t xml:space="preserve"> de CNAE), además del par formado por las series agregadas</w:t>
      </w:r>
      <w:r w:rsidR="00486BE5">
        <w:rPr>
          <w:lang w:val="es-ES"/>
        </w:rPr>
        <w:t>.</w:t>
      </w:r>
    </w:p>
    <w:p w14:paraId="6B4F8775" w14:textId="5B294834" w:rsidR="004C6044" w:rsidRDefault="004C6044" w:rsidP="00BB63CA">
      <w:pPr>
        <w:jc w:val="both"/>
        <w:rPr>
          <w:lang w:val="es-ES"/>
        </w:rPr>
      </w:pPr>
    </w:p>
    <w:p w14:paraId="59C3E2AF" w14:textId="77777777" w:rsidR="005079EE" w:rsidRDefault="005079EE" w:rsidP="00BB63CA">
      <w:pPr>
        <w:jc w:val="both"/>
        <w:rPr>
          <w:lang w:val="es-ES"/>
        </w:rPr>
      </w:pPr>
    </w:p>
    <w:p w14:paraId="2AD6C32E" w14:textId="0C0A86F1" w:rsidR="004C6044" w:rsidRDefault="004C6044" w:rsidP="00BB63CA">
      <w:pPr>
        <w:jc w:val="both"/>
        <w:rPr>
          <w:lang w:val="es-ES"/>
        </w:rPr>
      </w:pPr>
    </w:p>
    <w:p w14:paraId="0AE78D1E" w14:textId="77777777" w:rsidR="004C6044" w:rsidRDefault="004C6044" w:rsidP="00BB63CA">
      <w:pPr>
        <w:jc w:val="both"/>
        <w:rPr>
          <w:lang w:val="es-ES"/>
        </w:rPr>
      </w:pPr>
    </w:p>
    <w:p w14:paraId="1708426B" w14:textId="32E8AF74" w:rsidR="00486BE5" w:rsidRDefault="00486BE5" w:rsidP="00BB63CA">
      <w:pPr>
        <w:jc w:val="both"/>
        <w:rPr>
          <w:lang w:val="es-ES"/>
        </w:rPr>
      </w:pPr>
    </w:p>
    <w:p w14:paraId="239FD1E7" w14:textId="433A91C4" w:rsidR="00486BE5" w:rsidRPr="00486BE5" w:rsidRDefault="00486BE5" w:rsidP="00BB63CA">
      <w:pPr>
        <w:jc w:val="both"/>
        <w:rPr>
          <w:b/>
          <w:bCs/>
          <w:lang w:val="es-ES"/>
        </w:rPr>
      </w:pPr>
      <w:r w:rsidRPr="00486BE5">
        <w:rPr>
          <w:b/>
          <w:bCs/>
          <w:lang w:val="es-ES"/>
        </w:rPr>
        <w:t>Esquema</w:t>
      </w:r>
    </w:p>
    <w:p w14:paraId="38F6D6AF" w14:textId="04E65855" w:rsidR="00486BE5" w:rsidRDefault="00486BE5" w:rsidP="00BB63CA">
      <w:pPr>
        <w:jc w:val="both"/>
        <w:rPr>
          <w:lang w:val="es-ES"/>
        </w:rPr>
      </w:pPr>
    </w:p>
    <w:p w14:paraId="13D75DA5" w14:textId="3C5F82A4" w:rsidR="00486BE5" w:rsidRPr="004C6044" w:rsidRDefault="00486BE5" w:rsidP="004C604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4C6044">
        <w:rPr>
          <w:lang w:val="es-ES"/>
        </w:rPr>
        <w:t>Leer las series</w:t>
      </w:r>
    </w:p>
    <w:p w14:paraId="62577EEC" w14:textId="0E6B36B1" w:rsidR="00486BE5" w:rsidRPr="004C6044" w:rsidRDefault="00486BE5" w:rsidP="004C6044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4C6044">
        <w:rPr>
          <w:lang w:val="es-ES"/>
        </w:rPr>
        <w:t>Leer las 12 series del IPC más la serie general</w:t>
      </w:r>
    </w:p>
    <w:p w14:paraId="421DE5DD" w14:textId="6A1B200B" w:rsidR="00486BE5" w:rsidRPr="004C6044" w:rsidRDefault="00486BE5" w:rsidP="004C6044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4C6044">
        <w:rPr>
          <w:lang w:val="es-ES"/>
        </w:rPr>
        <w:t>Leer las 4 series del IPRI más la serie general</w:t>
      </w:r>
    </w:p>
    <w:p w14:paraId="0B4AA636" w14:textId="372390A4" w:rsidR="00486BE5" w:rsidRPr="004C6044" w:rsidRDefault="00486BE5" w:rsidP="004C604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4C6044">
        <w:rPr>
          <w:lang w:val="es-ES"/>
        </w:rPr>
        <w:t>Hacer estacionarias las series</w:t>
      </w:r>
    </w:p>
    <w:p w14:paraId="2F382404" w14:textId="50B074E6" w:rsidR="00486BE5" w:rsidRPr="004C6044" w:rsidRDefault="00486BE5" w:rsidP="004C6044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4C6044">
        <w:rPr>
          <w:lang w:val="es-ES"/>
        </w:rPr>
        <w:t xml:space="preserve">Diferenciar hasta un máximo de dos veces. Si la serie diferenciada dos veces no es </w:t>
      </w:r>
      <w:r w:rsidR="00BF15EF">
        <w:rPr>
          <w:lang w:val="es-ES"/>
        </w:rPr>
        <w:t xml:space="preserve">todavía </w:t>
      </w:r>
      <w:r w:rsidRPr="004C6044">
        <w:rPr>
          <w:lang w:val="es-ES"/>
        </w:rPr>
        <w:t>estacionaria</w:t>
      </w:r>
      <w:r w:rsidR="00BF15EF">
        <w:rPr>
          <w:lang w:val="es-ES"/>
        </w:rPr>
        <w:t>,</w:t>
      </w:r>
      <w:r w:rsidRPr="004C6044">
        <w:rPr>
          <w:lang w:val="es-ES"/>
        </w:rPr>
        <w:t xml:space="preserve"> buscar otra transformación o quitarla </w:t>
      </w:r>
    </w:p>
    <w:p w14:paraId="5CA10472" w14:textId="28B4C749" w:rsidR="00486BE5" w:rsidRPr="004C6044" w:rsidRDefault="00486BE5" w:rsidP="00BF15EF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4C6044">
        <w:rPr>
          <w:lang w:val="es-ES"/>
        </w:rPr>
        <w:t xml:space="preserve">Analizador automático para </w:t>
      </w:r>
      <w:proofErr w:type="gramStart"/>
      <w:r w:rsidRPr="004C6044">
        <w:rPr>
          <w:lang w:val="es-ES"/>
        </w:rPr>
        <w:t>el test</w:t>
      </w:r>
      <w:proofErr w:type="gramEnd"/>
      <w:r w:rsidRPr="004C6044">
        <w:rPr>
          <w:lang w:val="es-ES"/>
        </w:rPr>
        <w:t xml:space="preserve"> de </w:t>
      </w:r>
      <w:proofErr w:type="spellStart"/>
      <w:r w:rsidRPr="004C6044">
        <w:rPr>
          <w:lang w:val="es-ES"/>
        </w:rPr>
        <w:t>Dickey</w:t>
      </w:r>
      <w:proofErr w:type="spellEnd"/>
      <w:r w:rsidRPr="004C6044">
        <w:rPr>
          <w:lang w:val="es-ES"/>
        </w:rPr>
        <w:t xml:space="preserve"> </w:t>
      </w:r>
      <w:proofErr w:type="spellStart"/>
      <w:r w:rsidRPr="004C6044">
        <w:rPr>
          <w:lang w:val="es-ES"/>
        </w:rPr>
        <w:t>Fuller</w:t>
      </w:r>
      <w:proofErr w:type="spellEnd"/>
    </w:p>
    <w:p w14:paraId="3A4E0733" w14:textId="6049EE3D" w:rsidR="00486BE5" w:rsidRPr="004C6044" w:rsidRDefault="00486BE5" w:rsidP="004C604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4C6044">
        <w:rPr>
          <w:lang w:val="es-ES"/>
        </w:rPr>
        <w:t>Comparar todos los pares de series IPRI,</w:t>
      </w:r>
      <w:r w:rsidR="004C6044">
        <w:rPr>
          <w:lang w:val="es-ES"/>
        </w:rPr>
        <w:t xml:space="preserve"> </w:t>
      </w:r>
      <w:r w:rsidR="004C6044" w:rsidRPr="004C6044">
        <w:rPr>
          <w:lang w:val="es-ES"/>
        </w:rPr>
        <w:t>IPC</w:t>
      </w:r>
      <w:r w:rsidR="00BF15EF">
        <w:rPr>
          <w:lang w:val="es-ES"/>
        </w:rPr>
        <w:t xml:space="preserve"> con </w:t>
      </w:r>
      <w:proofErr w:type="gramStart"/>
      <w:r w:rsidR="00BF15EF">
        <w:rPr>
          <w:lang w:val="es-ES"/>
        </w:rPr>
        <w:t>el test</w:t>
      </w:r>
      <w:proofErr w:type="gramEnd"/>
      <w:r w:rsidR="00BF15EF">
        <w:rPr>
          <w:lang w:val="es-ES"/>
        </w:rPr>
        <w:t xml:space="preserve"> de causalidad-</w:t>
      </w:r>
      <w:proofErr w:type="spellStart"/>
      <w:r w:rsidR="00BF15EF">
        <w:rPr>
          <w:lang w:val="es-ES"/>
        </w:rPr>
        <w:t>granger</w:t>
      </w:r>
      <w:proofErr w:type="spellEnd"/>
    </w:p>
    <w:p w14:paraId="49D23682" w14:textId="6D1AE00C" w:rsidR="004C6044" w:rsidRPr="004C6044" w:rsidRDefault="004C6044" w:rsidP="004C6044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4C6044">
        <w:rPr>
          <w:lang w:val="es-ES"/>
        </w:rPr>
        <w:t xml:space="preserve">Hacer un matriz donde las filas son las secciones del IPRI y las columnas son los grupos del IPC. Los </w:t>
      </w:r>
      <w:r w:rsidR="00BF15EF">
        <w:rPr>
          <w:lang w:val="es-ES"/>
        </w:rPr>
        <w:t xml:space="preserve">elementos de la matriz serían 1 o 0 según haya o no haya </w:t>
      </w:r>
      <w:r w:rsidR="00630FD3">
        <w:rPr>
          <w:lang w:val="es-ES"/>
        </w:rPr>
        <w:t>causalidad-</w:t>
      </w:r>
      <w:proofErr w:type="spellStart"/>
      <w:r w:rsidR="00630FD3">
        <w:rPr>
          <w:lang w:val="es-ES"/>
        </w:rPr>
        <w:t>granger</w:t>
      </w:r>
      <w:proofErr w:type="spellEnd"/>
      <w:r w:rsidR="00630FD3">
        <w:rPr>
          <w:lang w:val="es-ES"/>
        </w:rPr>
        <w:t xml:space="preserve"> del IPRI al IPC</w:t>
      </w:r>
      <w:r w:rsidRPr="004C6044">
        <w:rPr>
          <w:lang w:val="es-ES"/>
        </w:rPr>
        <w:t>.</w:t>
      </w:r>
      <w:r w:rsidR="00630FD3">
        <w:rPr>
          <w:lang w:val="es-ES"/>
        </w:rPr>
        <w:t xml:space="preserve"> Es decir, la celda vale 1 si se rechaza la hipótesis nula y 0 en caso contrario.</w:t>
      </w:r>
      <w:r w:rsidRPr="004C6044">
        <w:rPr>
          <w:lang w:val="es-ES"/>
        </w:rPr>
        <w:t xml:space="preserve"> Esta matriz se puede hacer con un 5% de </w:t>
      </w:r>
      <w:proofErr w:type="spellStart"/>
      <w:r w:rsidRPr="004C6044">
        <w:rPr>
          <w:lang w:val="es-ES"/>
        </w:rPr>
        <w:t>significanc</w:t>
      </w:r>
      <w:r w:rsidR="00630FD3">
        <w:rPr>
          <w:lang w:val="es-ES"/>
        </w:rPr>
        <w:t>ión</w:t>
      </w:r>
      <w:proofErr w:type="spellEnd"/>
    </w:p>
    <w:p w14:paraId="420F6B2F" w14:textId="77777777" w:rsidR="004C6044" w:rsidRDefault="004C6044" w:rsidP="00BB63CA">
      <w:pPr>
        <w:jc w:val="both"/>
        <w:rPr>
          <w:lang w:val="es-ES"/>
        </w:rPr>
      </w:pPr>
    </w:p>
    <w:p w14:paraId="4CB20FFD" w14:textId="661C4DD3" w:rsidR="00486BE5" w:rsidRDefault="00486BE5" w:rsidP="00BB63CA">
      <w:pPr>
        <w:jc w:val="both"/>
        <w:rPr>
          <w:lang w:val="es-ES"/>
        </w:rPr>
      </w:pPr>
    </w:p>
    <w:p w14:paraId="66E28D96" w14:textId="77777777" w:rsidR="00486BE5" w:rsidRDefault="00486BE5" w:rsidP="00BB63CA">
      <w:pPr>
        <w:jc w:val="both"/>
        <w:rPr>
          <w:lang w:val="es-ES"/>
        </w:rPr>
      </w:pPr>
    </w:p>
    <w:p w14:paraId="693553C7" w14:textId="77777777" w:rsidR="00236579" w:rsidRDefault="00236579" w:rsidP="00BB63CA">
      <w:pPr>
        <w:jc w:val="both"/>
        <w:rPr>
          <w:lang w:val="es-ES"/>
        </w:rPr>
      </w:pPr>
    </w:p>
    <w:p w14:paraId="17F8A2F8" w14:textId="150E85F2" w:rsidR="0012604F" w:rsidRDefault="0012604F" w:rsidP="00BB63CA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44517C0A" w14:textId="77777777" w:rsidR="00823F11" w:rsidRDefault="00823F11" w:rsidP="00BB63CA">
      <w:pPr>
        <w:jc w:val="both"/>
        <w:rPr>
          <w:lang w:val="es-ES"/>
        </w:rPr>
      </w:pPr>
    </w:p>
    <w:p w14:paraId="1F6BC722" w14:textId="77777777" w:rsidR="00BB63CA" w:rsidRDefault="00BB63CA" w:rsidP="00BB63CA">
      <w:pPr>
        <w:jc w:val="both"/>
        <w:rPr>
          <w:lang w:val="es-ES"/>
        </w:rPr>
      </w:pPr>
    </w:p>
    <w:p w14:paraId="60F56784" w14:textId="1E8AF00B" w:rsidR="000D46E9" w:rsidRPr="000D46E9" w:rsidRDefault="000D46E9" w:rsidP="00BB63CA">
      <w:pPr>
        <w:jc w:val="both"/>
        <w:rPr>
          <w:lang w:val="es-ES"/>
        </w:rPr>
      </w:pPr>
    </w:p>
    <w:sectPr w:rsidR="000D46E9" w:rsidRPr="000D46E9" w:rsidSect="006F1D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2054"/>
    <w:multiLevelType w:val="hybridMultilevel"/>
    <w:tmpl w:val="DCEA95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7B6B"/>
    <w:multiLevelType w:val="hybridMultilevel"/>
    <w:tmpl w:val="302092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05C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4F3C3D"/>
    <w:multiLevelType w:val="hybridMultilevel"/>
    <w:tmpl w:val="831897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E9"/>
    <w:rsid w:val="000D46E9"/>
    <w:rsid w:val="0012604F"/>
    <w:rsid w:val="00236579"/>
    <w:rsid w:val="00312B47"/>
    <w:rsid w:val="00371930"/>
    <w:rsid w:val="00486BE5"/>
    <w:rsid w:val="004C6044"/>
    <w:rsid w:val="005079EE"/>
    <w:rsid w:val="005B0854"/>
    <w:rsid w:val="00630FD3"/>
    <w:rsid w:val="006F1DE4"/>
    <w:rsid w:val="007669FD"/>
    <w:rsid w:val="00823F11"/>
    <w:rsid w:val="008333AA"/>
    <w:rsid w:val="00A62CAB"/>
    <w:rsid w:val="00B55FA3"/>
    <w:rsid w:val="00BB63CA"/>
    <w:rsid w:val="00BF15EF"/>
    <w:rsid w:val="00C70711"/>
    <w:rsid w:val="00CB200E"/>
    <w:rsid w:val="00D2009D"/>
    <w:rsid w:val="00D2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FE063"/>
  <w14:defaultImageDpi w14:val="32767"/>
  <w15:chartTrackingRefBased/>
  <w15:docId w15:val="{6C52D6F7-5432-5444-8E1E-95E7182D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1930"/>
    <w:rPr>
      <w:color w:val="808080"/>
    </w:rPr>
  </w:style>
  <w:style w:type="paragraph" w:styleId="Prrafodelista">
    <w:name w:val="List Paragraph"/>
    <w:basedOn w:val="Normal"/>
    <w:uiPriority w:val="34"/>
    <w:qFormat/>
    <w:rsid w:val="0012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Cervigon</dc:creator>
  <cp:keywords/>
  <dc:description/>
  <cp:lastModifiedBy>Juan Cervigon</cp:lastModifiedBy>
  <cp:revision>8</cp:revision>
  <dcterms:created xsi:type="dcterms:W3CDTF">2022-02-18T10:33:00Z</dcterms:created>
  <dcterms:modified xsi:type="dcterms:W3CDTF">2022-02-18T17:37:00Z</dcterms:modified>
</cp:coreProperties>
</file>