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5E" w:rsidRPr="00A3175E" w:rsidRDefault="00A3175E" w:rsidP="00A3175E">
      <w:pPr>
        <w:keepNext/>
        <w:spacing w:after="180"/>
        <w:jc w:val="right"/>
        <w:rPr>
          <w:rFonts w:ascii="Book Antiqua" w:hAnsi="Book Antiqua"/>
          <w:bCs/>
        </w:rPr>
      </w:pPr>
      <w:r w:rsidRPr="00A3175E">
        <w:rPr>
          <w:rFonts w:ascii="Book Antiqua" w:hAnsi="Book Antiqua"/>
          <w:bCs/>
        </w:rPr>
        <w:t>Yerba Buena, 09 de Junio de 2004</w:t>
      </w:r>
    </w:p>
    <w:p w:rsidR="00A3175E" w:rsidRPr="00A3175E" w:rsidRDefault="00A3175E" w:rsidP="00A3175E">
      <w:pPr>
        <w:keepNext/>
        <w:spacing w:before="480" w:after="180"/>
        <w:rPr>
          <w:rFonts w:ascii="Book Antiqua" w:hAnsi="Book Antiqua"/>
          <w:b/>
          <w:bCs/>
        </w:rPr>
      </w:pPr>
      <w:r w:rsidRPr="00A3175E">
        <w:rPr>
          <w:rFonts w:ascii="Book Antiqua" w:hAnsi="Book Antiqua"/>
          <w:b/>
          <w:bCs/>
        </w:rPr>
        <w:t>ORDENANZA Nº 1371</w:t>
      </w:r>
    </w:p>
    <w:p w:rsidR="00A3175E" w:rsidRPr="00A3175E" w:rsidRDefault="00A3175E" w:rsidP="00A3175E">
      <w:pPr>
        <w:keepNext/>
        <w:spacing w:before="240" w:after="60"/>
        <w:rPr>
          <w:rFonts w:ascii="Book Antiqua" w:hAnsi="Book Antiqua"/>
          <w:b/>
          <w:bCs/>
        </w:rPr>
      </w:pPr>
      <w:r w:rsidRPr="00A3175E">
        <w:rPr>
          <w:rFonts w:ascii="Book Antiqua" w:hAnsi="Book Antiqua"/>
          <w:b/>
          <w:bCs/>
        </w:rPr>
        <w:t>VISTO:</w:t>
      </w:r>
    </w:p>
    <w:p w:rsidR="001C644B" w:rsidRPr="00A3175E" w:rsidRDefault="00A3175E" w:rsidP="00A3175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83A11" w:rsidRPr="00A3175E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B83A11" w:rsidRPr="00A3175E">
        <w:rPr>
          <w:rFonts w:ascii="Book Antiqua" w:hAnsi="Book Antiqua"/>
        </w:rPr>
        <w:t>1356/04 mediante la cual se establece el procedimiento para las habilitaciones comerciales</w:t>
      </w:r>
      <w:r>
        <w:rPr>
          <w:rFonts w:ascii="Book Antiqua" w:hAnsi="Book Antiqua"/>
        </w:rPr>
        <w:t xml:space="preserve">; </w:t>
      </w:r>
      <w:r w:rsidR="00B83A11" w:rsidRPr="00A3175E">
        <w:rPr>
          <w:rFonts w:ascii="Book Antiqua" w:hAnsi="Book Antiqua"/>
        </w:rPr>
        <w:t>y</w:t>
      </w:r>
    </w:p>
    <w:p w:rsidR="00A3175E" w:rsidRPr="00A3175E" w:rsidRDefault="00A3175E" w:rsidP="00A3175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3175E">
        <w:rPr>
          <w:rFonts w:ascii="Book Antiqua" w:hAnsi="Book Antiqua"/>
          <w:b/>
          <w:bCs/>
        </w:rPr>
        <w:t>CONSIDERANDO:</w:t>
      </w:r>
    </w:p>
    <w:p w:rsidR="00014DEF" w:rsidRPr="00A3175E" w:rsidRDefault="00A3175E" w:rsidP="00A3175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A2D11" w:rsidRPr="00A3175E">
        <w:rPr>
          <w:rFonts w:ascii="Book Antiqua" w:hAnsi="Book Antiqua"/>
        </w:rPr>
        <w:t>Que mediante Decreto N</w:t>
      </w:r>
      <w:r>
        <w:rPr>
          <w:rFonts w:ascii="Book Antiqua" w:hAnsi="Book Antiqua"/>
        </w:rPr>
        <w:t xml:space="preserve">º </w:t>
      </w:r>
      <w:r w:rsidR="003A2D11" w:rsidRPr="00A3175E">
        <w:rPr>
          <w:rFonts w:ascii="Book Antiqua" w:hAnsi="Book Antiqua"/>
        </w:rPr>
        <w:t>236/04 el Departamento Ejecutivo Municipal</w:t>
      </w:r>
      <w:r>
        <w:rPr>
          <w:rFonts w:ascii="Book Antiqua" w:hAnsi="Book Antiqua"/>
        </w:rPr>
        <w:t xml:space="preserve">, </w:t>
      </w:r>
      <w:r w:rsidR="003A2D11" w:rsidRPr="00A3175E">
        <w:rPr>
          <w:rFonts w:ascii="Book Antiqua" w:hAnsi="Book Antiqua"/>
        </w:rPr>
        <w:t>promulgó la Ordenanza en cuestión</w:t>
      </w:r>
      <w:r>
        <w:rPr>
          <w:rFonts w:ascii="Book Antiqua" w:hAnsi="Book Antiqua"/>
        </w:rPr>
        <w:t xml:space="preserve">; </w:t>
      </w:r>
    </w:p>
    <w:p w:rsidR="00014DEF" w:rsidRPr="00A3175E" w:rsidRDefault="003A2D11" w:rsidP="00A3175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175E">
        <w:rPr>
          <w:rFonts w:ascii="Book Antiqua" w:hAnsi="Book Antiqua"/>
        </w:rPr>
        <w:t>Que a los fines de lograr una mejor interpretación de las normas que se establecen</w:t>
      </w:r>
      <w:r w:rsidR="00A3175E">
        <w:rPr>
          <w:rFonts w:ascii="Book Antiqua" w:hAnsi="Book Antiqua"/>
        </w:rPr>
        <w:t xml:space="preserve">, </w:t>
      </w:r>
      <w:r w:rsidRPr="00A3175E">
        <w:rPr>
          <w:rFonts w:ascii="Book Antiqua" w:hAnsi="Book Antiqua"/>
        </w:rPr>
        <w:t>resulta necesario introducir modificaciones</w:t>
      </w:r>
      <w:r w:rsidR="00A3175E">
        <w:rPr>
          <w:rFonts w:ascii="Book Antiqua" w:hAnsi="Book Antiqua"/>
        </w:rPr>
        <w:t xml:space="preserve">; </w:t>
      </w:r>
    </w:p>
    <w:p w:rsidR="001C644B" w:rsidRPr="00A3175E" w:rsidRDefault="00A3175E" w:rsidP="00A3175E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A3175E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A3175E" w:rsidRPr="00A3175E" w:rsidRDefault="00A3175E" w:rsidP="00A3175E">
      <w:pPr>
        <w:pStyle w:val="Textoindependiente"/>
        <w:keepNext/>
        <w:spacing w:after="180"/>
        <w:rPr>
          <w:rFonts w:ascii="Book Antiqua" w:hAnsi="Book Antiqua"/>
        </w:rPr>
      </w:pPr>
      <w:r w:rsidRPr="00A3175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A2D11" w:rsidRPr="00A3175E">
        <w:rPr>
          <w:rFonts w:ascii="Book Antiqua" w:hAnsi="Book Antiqua"/>
        </w:rPr>
        <w:t>Modifícase el inc</w:t>
      </w:r>
      <w:r>
        <w:rPr>
          <w:rFonts w:ascii="Book Antiqua" w:hAnsi="Book Antiqua"/>
        </w:rPr>
        <w:t xml:space="preserve">. </w:t>
      </w:r>
      <w:r w:rsidR="003A2D11" w:rsidRPr="00A3175E">
        <w:rPr>
          <w:rFonts w:ascii="Book Antiqua" w:hAnsi="Book Antiqua"/>
        </w:rPr>
        <w:t>a del Artículo Séptimo de la Ordenanza N</w:t>
      </w:r>
      <w:r>
        <w:rPr>
          <w:rFonts w:ascii="Book Antiqua" w:hAnsi="Book Antiqua"/>
        </w:rPr>
        <w:t xml:space="preserve">º </w:t>
      </w:r>
      <w:r w:rsidR="003A2D11" w:rsidRPr="00A3175E">
        <w:rPr>
          <w:rFonts w:ascii="Book Antiqua" w:hAnsi="Book Antiqua"/>
        </w:rPr>
        <w:t>1356 del 21/04/04</w:t>
      </w:r>
      <w:r>
        <w:rPr>
          <w:rFonts w:ascii="Book Antiqua" w:hAnsi="Book Antiqua"/>
        </w:rPr>
        <w:t xml:space="preserve">, </w:t>
      </w:r>
      <w:r w:rsidR="003A2D11" w:rsidRPr="00A3175E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014DEF" w:rsidRPr="00A3175E" w:rsidRDefault="003A2D11" w:rsidP="00A3175E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A3175E">
        <w:rPr>
          <w:rFonts w:ascii="Book Antiqua" w:hAnsi="Book Antiqua"/>
          <w:bCs/>
          <w:iCs/>
        </w:rPr>
        <w:t>Si de la información y documentación reunida surge que no existen impedimentos para autorizar el emprendimiento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se girarán las Actuaciones a la Dirección de Rentas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quien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previa verificación del estado fiscal del Contribuyente y de no mediar inconveniente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originará un N</w:t>
      </w:r>
      <w:r w:rsidR="00A3175E">
        <w:rPr>
          <w:rFonts w:ascii="Book Antiqua" w:hAnsi="Book Antiqua"/>
          <w:bCs/>
          <w:iCs/>
        </w:rPr>
        <w:t xml:space="preserve">º </w:t>
      </w:r>
      <w:r w:rsidRPr="00A3175E">
        <w:rPr>
          <w:rFonts w:ascii="Book Antiqua" w:hAnsi="Book Antiqua"/>
          <w:bCs/>
          <w:iCs/>
        </w:rPr>
        <w:t>de Padrón de PACIS para la nueva actividad</w:t>
      </w:r>
      <w:r w:rsidR="00A3175E">
        <w:rPr>
          <w:rFonts w:ascii="Book Antiqua" w:hAnsi="Book Antiqua"/>
          <w:bCs/>
          <w:iCs/>
        </w:rPr>
        <w:t xml:space="preserve">. </w:t>
      </w:r>
      <w:r w:rsidRPr="00A3175E">
        <w:rPr>
          <w:rFonts w:ascii="Book Antiqua" w:hAnsi="Book Antiqua"/>
          <w:bCs/>
          <w:iCs/>
        </w:rPr>
        <w:t>Cumplimentado éste trámite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el Expediente se remitirá nuevamente a la Dirección de Atención al Vecino o la que en el futuro</w:t>
      </w:r>
      <w:r w:rsidR="00B83A11" w:rsidRPr="00A3175E">
        <w:rPr>
          <w:rFonts w:ascii="Book Antiqua" w:hAnsi="Book Antiqua"/>
          <w:bCs/>
          <w:iCs/>
        </w:rPr>
        <w:t xml:space="preserve"> </w:t>
      </w:r>
      <w:r w:rsidRPr="00A3175E">
        <w:rPr>
          <w:rFonts w:ascii="Book Antiqua" w:hAnsi="Book Antiqua"/>
          <w:bCs/>
          <w:iCs/>
        </w:rPr>
        <w:t>la reemplace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quien emitirá la</w:t>
      </w:r>
      <w:r w:rsidR="00B83A11" w:rsidRPr="00A3175E">
        <w:rPr>
          <w:rFonts w:ascii="Book Antiqua" w:hAnsi="Book Antiqua"/>
          <w:bCs/>
          <w:iCs/>
        </w:rPr>
        <w:t xml:space="preserve"> </w:t>
      </w:r>
      <w:r w:rsidRPr="00A3175E">
        <w:rPr>
          <w:rFonts w:ascii="Book Antiqua" w:hAnsi="Book Antiqua"/>
          <w:bCs/>
          <w:iCs/>
        </w:rPr>
        <w:t>Resolución Habilitante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notificará al interesado y previo pago del derecho de empadronamiento registrará el comercio en el registro</w:t>
      </w:r>
      <w:r w:rsidR="00B83A11" w:rsidRPr="00A3175E">
        <w:rPr>
          <w:rFonts w:ascii="Book Antiqua" w:hAnsi="Book Antiqua"/>
          <w:bCs/>
          <w:iCs/>
        </w:rPr>
        <w:t xml:space="preserve"> </w:t>
      </w:r>
      <w:r w:rsidRPr="00A3175E">
        <w:rPr>
          <w:rFonts w:ascii="Book Antiqua" w:hAnsi="Book Antiqua"/>
          <w:bCs/>
          <w:iCs/>
        </w:rPr>
        <w:t>Comercial y archivará las actuaciones</w:t>
      </w:r>
      <w:r w:rsidR="00A3175E">
        <w:rPr>
          <w:rFonts w:ascii="Book Antiqua" w:hAnsi="Book Antiqua"/>
          <w:bCs/>
          <w:iCs/>
        </w:rPr>
        <w:t xml:space="preserve">. </w:t>
      </w:r>
    </w:p>
    <w:p w:rsidR="00A3175E" w:rsidRPr="00A3175E" w:rsidRDefault="00A3175E" w:rsidP="00A3175E">
      <w:pPr>
        <w:keepNext/>
        <w:spacing w:after="180"/>
        <w:jc w:val="both"/>
        <w:rPr>
          <w:rFonts w:ascii="Book Antiqua" w:hAnsi="Book Antiqua"/>
        </w:rPr>
      </w:pPr>
      <w:r w:rsidRPr="00A3175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A2D11" w:rsidRPr="00A3175E">
        <w:rPr>
          <w:rFonts w:ascii="Book Antiqua" w:hAnsi="Book Antiqua"/>
        </w:rPr>
        <w:t>Modifícase el Artículo Octavo de la Ordenanza N</w:t>
      </w:r>
      <w:r>
        <w:rPr>
          <w:rFonts w:ascii="Book Antiqua" w:hAnsi="Book Antiqua"/>
        </w:rPr>
        <w:t xml:space="preserve">º </w:t>
      </w:r>
      <w:r w:rsidR="003A2D11" w:rsidRPr="00A3175E">
        <w:rPr>
          <w:rFonts w:ascii="Book Antiqua" w:hAnsi="Book Antiqua"/>
        </w:rPr>
        <w:t>1356</w:t>
      </w:r>
      <w:r>
        <w:rPr>
          <w:rFonts w:ascii="Book Antiqua" w:hAnsi="Book Antiqua"/>
        </w:rPr>
        <w:t xml:space="preserve">, </w:t>
      </w:r>
      <w:r w:rsidR="003A2D11" w:rsidRPr="00A3175E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014DEF" w:rsidRPr="00A3175E" w:rsidRDefault="003A2D11" w:rsidP="00A3175E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A3175E">
        <w:rPr>
          <w:rFonts w:ascii="Book Antiqua" w:hAnsi="Book Antiqua"/>
          <w:bCs/>
          <w:iCs/>
        </w:rPr>
        <w:t>“A pedido del Contribuyente y en los casos de las actividades que sean factibles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la Dirección de Atención al Vecino o la que en el futuro la reemplace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podrá otorgar una HABILITACION provisoria mientras se culmine el trámite de estudio de factibilidad</w:t>
      </w:r>
      <w:r w:rsidR="00A3175E">
        <w:rPr>
          <w:rFonts w:ascii="Book Antiqua" w:hAnsi="Book Antiqua"/>
          <w:bCs/>
          <w:iCs/>
        </w:rPr>
        <w:t xml:space="preserve">. </w:t>
      </w:r>
      <w:r w:rsidRPr="00A3175E">
        <w:rPr>
          <w:rFonts w:ascii="Book Antiqua" w:hAnsi="Book Antiqua"/>
          <w:bCs/>
          <w:iCs/>
        </w:rPr>
        <w:t>Esta Habilitación provisoria se entregará por un plazo no mayora 30 días no prorrogables</w:t>
      </w:r>
      <w:r w:rsidR="00A3175E">
        <w:rPr>
          <w:rFonts w:ascii="Book Antiqua" w:hAnsi="Book Antiqua"/>
          <w:bCs/>
          <w:iCs/>
        </w:rPr>
        <w:t xml:space="preserve">. </w:t>
      </w:r>
    </w:p>
    <w:p w:rsidR="00014DEF" w:rsidRPr="00A3175E" w:rsidRDefault="003A2D11" w:rsidP="00A3175E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A3175E">
        <w:rPr>
          <w:rFonts w:ascii="Book Antiqua" w:hAnsi="Book Antiqua"/>
          <w:bCs/>
          <w:iCs/>
        </w:rPr>
        <w:t>Quedan exceptuadas de la posibilidad de disponer de HABILITACION PROVISORIA aquellas actividades de concurrencia masiva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o donde se expendan o fabriquen alimentos</w:t>
      </w:r>
      <w:r w:rsidR="00A3175E">
        <w:rPr>
          <w:rFonts w:ascii="Book Antiqua" w:hAnsi="Book Antiqua"/>
          <w:bCs/>
          <w:iCs/>
        </w:rPr>
        <w:t xml:space="preserve">. </w:t>
      </w:r>
    </w:p>
    <w:p w:rsidR="00014DEF" w:rsidRPr="00A3175E" w:rsidRDefault="003A2D11" w:rsidP="00A3175E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A3175E">
        <w:rPr>
          <w:rFonts w:ascii="Book Antiqua" w:hAnsi="Book Antiqua"/>
          <w:bCs/>
          <w:iCs/>
        </w:rPr>
        <w:t>Estas habilitaciones provisorias no constituyen de modo alguno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la obligación por parte de la Municipalidad de otorgar la HABILITACION definitiva</w:t>
      </w:r>
      <w:r w:rsidR="00A3175E">
        <w:rPr>
          <w:rFonts w:ascii="Book Antiqua" w:hAnsi="Book Antiqua"/>
          <w:bCs/>
          <w:iCs/>
        </w:rPr>
        <w:t xml:space="preserve">, </w:t>
      </w:r>
      <w:r w:rsidRPr="00A3175E">
        <w:rPr>
          <w:rFonts w:ascii="Book Antiqua" w:hAnsi="Book Antiqua"/>
          <w:bCs/>
          <w:iCs/>
        </w:rPr>
        <w:t>si posteriormente no se cumplimenta el trámite anteriormente descripto</w:t>
      </w:r>
      <w:r w:rsidR="00A3175E">
        <w:rPr>
          <w:rFonts w:ascii="Book Antiqua" w:hAnsi="Book Antiqua"/>
          <w:bCs/>
          <w:iCs/>
        </w:rPr>
        <w:t xml:space="preserve">. </w:t>
      </w:r>
    </w:p>
    <w:p w:rsidR="0066289C" w:rsidRPr="00A3175E" w:rsidRDefault="00A3175E" w:rsidP="00A3175E">
      <w:pPr>
        <w:keepNext/>
        <w:spacing w:after="180"/>
        <w:jc w:val="both"/>
        <w:rPr>
          <w:rFonts w:ascii="Book Antiqua" w:hAnsi="Book Antiqua"/>
        </w:rPr>
      </w:pPr>
      <w:r w:rsidRPr="00A3175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3A2D11" w:rsidRPr="00A3175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3A2D11" w:rsidRPr="00A3175E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66289C" w:rsidRPr="00A3175E" w:rsidSect="00A3175E">
      <w:footerReference w:type="default" r:id="rId7"/>
      <w:pgSz w:w="11906" w:h="16838" w:code="5"/>
      <w:pgMar w:top="1417" w:right="1134" w:bottom="1134" w:left="1701" w:header="709" w:footer="709" w:gutter="0"/>
      <w:pgNumType w:start="12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3A4" w:rsidRDefault="001C73A4" w:rsidP="001C73A4">
      <w:r>
        <w:separator/>
      </w:r>
    </w:p>
  </w:endnote>
  <w:endnote w:type="continuationSeparator" w:id="0">
    <w:p w:rsidR="001C73A4" w:rsidRDefault="001C73A4" w:rsidP="001C7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3A4" w:rsidRPr="00D645FB" w:rsidRDefault="001C73A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3A4" w:rsidRDefault="001C73A4" w:rsidP="001C73A4">
      <w:r>
        <w:separator/>
      </w:r>
    </w:p>
  </w:footnote>
  <w:footnote w:type="continuationSeparator" w:id="0">
    <w:p w:rsidR="001C73A4" w:rsidRDefault="001C73A4" w:rsidP="001C7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BE4"/>
    <w:multiLevelType w:val="hybridMultilevel"/>
    <w:tmpl w:val="37423A9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855D8"/>
    <w:multiLevelType w:val="hybridMultilevel"/>
    <w:tmpl w:val="436A85FE"/>
    <w:lvl w:ilvl="0" w:tplc="0C0A000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15A00"/>
    <w:multiLevelType w:val="hybridMultilevel"/>
    <w:tmpl w:val="F81E40B2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50D0CD8"/>
    <w:multiLevelType w:val="hybridMultilevel"/>
    <w:tmpl w:val="EDE89F44"/>
    <w:lvl w:ilvl="0" w:tplc="79C6112E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387407"/>
    <w:multiLevelType w:val="hybridMultilevel"/>
    <w:tmpl w:val="A7BEB92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A56565"/>
    <w:multiLevelType w:val="hybridMultilevel"/>
    <w:tmpl w:val="50CC2D5A"/>
    <w:lvl w:ilvl="0" w:tplc="0C0A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2E7E502E"/>
    <w:multiLevelType w:val="hybridMultilevel"/>
    <w:tmpl w:val="53929B2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0A4AD2"/>
    <w:multiLevelType w:val="hybridMultilevel"/>
    <w:tmpl w:val="29F05B38"/>
    <w:lvl w:ilvl="0" w:tplc="EAE85EAA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3D110464"/>
    <w:multiLevelType w:val="hybridMultilevel"/>
    <w:tmpl w:val="436A85FE"/>
    <w:lvl w:ilvl="0" w:tplc="79C6112E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124C25"/>
    <w:multiLevelType w:val="hybridMultilevel"/>
    <w:tmpl w:val="F766CD86"/>
    <w:lvl w:ilvl="0" w:tplc="0C0A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69326F1B"/>
    <w:multiLevelType w:val="hybridMultilevel"/>
    <w:tmpl w:val="53929B2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3A6EE1"/>
    <w:multiLevelType w:val="hybridMultilevel"/>
    <w:tmpl w:val="7E0AB84E"/>
    <w:lvl w:ilvl="0" w:tplc="28F0D4D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2" w15:restartNumberingAfterBreak="0">
    <w:nsid w:val="6C31712A"/>
    <w:multiLevelType w:val="hybridMultilevel"/>
    <w:tmpl w:val="EC8C66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BB71A8"/>
    <w:multiLevelType w:val="hybridMultilevel"/>
    <w:tmpl w:val="436A85FE"/>
    <w:lvl w:ilvl="0" w:tplc="1A1C0DF4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944A28"/>
    <w:multiLevelType w:val="hybridMultilevel"/>
    <w:tmpl w:val="513E3F86"/>
    <w:lvl w:ilvl="0" w:tplc="79C6112E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7B3B54B9"/>
    <w:multiLevelType w:val="hybridMultilevel"/>
    <w:tmpl w:val="7E0AB84E"/>
    <w:lvl w:ilvl="0" w:tplc="28F0D4D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6" w15:restartNumberingAfterBreak="0">
    <w:nsid w:val="7C825AE7"/>
    <w:multiLevelType w:val="hybridMultilevel"/>
    <w:tmpl w:val="CC30C19C"/>
    <w:lvl w:ilvl="0" w:tplc="1A1C0DF4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17" w15:restartNumberingAfterBreak="0">
    <w:nsid w:val="7E210918"/>
    <w:multiLevelType w:val="hybridMultilevel"/>
    <w:tmpl w:val="436A85FE"/>
    <w:lvl w:ilvl="0" w:tplc="79C6112E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7"/>
  </w:num>
  <w:num w:numId="5">
    <w:abstractNumId w:val="11"/>
  </w:num>
  <w:num w:numId="6">
    <w:abstractNumId w:val="15"/>
  </w:num>
  <w:num w:numId="7">
    <w:abstractNumId w:val="16"/>
  </w:num>
  <w:num w:numId="8">
    <w:abstractNumId w:val="14"/>
  </w:num>
  <w:num w:numId="9">
    <w:abstractNumId w:val="3"/>
  </w:num>
  <w:num w:numId="10">
    <w:abstractNumId w:val="8"/>
  </w:num>
  <w:num w:numId="11">
    <w:abstractNumId w:val="13"/>
  </w:num>
  <w:num w:numId="12">
    <w:abstractNumId w:val="17"/>
  </w:num>
  <w:num w:numId="13">
    <w:abstractNumId w:val="1"/>
  </w:num>
  <w:num w:numId="14">
    <w:abstractNumId w:val="0"/>
  </w:num>
  <w:num w:numId="15">
    <w:abstractNumId w:val="9"/>
  </w:num>
  <w:num w:numId="16">
    <w:abstractNumId w:val="2"/>
  </w:num>
  <w:num w:numId="17">
    <w:abstractNumId w:val="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A2D11"/>
    <w:rsid w:val="00014DEF"/>
    <w:rsid w:val="00014E41"/>
    <w:rsid w:val="000177E9"/>
    <w:rsid w:val="00022433"/>
    <w:rsid w:val="00061132"/>
    <w:rsid w:val="0018467F"/>
    <w:rsid w:val="001B0271"/>
    <w:rsid w:val="001B50A1"/>
    <w:rsid w:val="001C644B"/>
    <w:rsid w:val="001C73A4"/>
    <w:rsid w:val="001D69A1"/>
    <w:rsid w:val="00206080"/>
    <w:rsid w:val="00234EB9"/>
    <w:rsid w:val="00262BE2"/>
    <w:rsid w:val="002F6DB0"/>
    <w:rsid w:val="003276B1"/>
    <w:rsid w:val="003A19DD"/>
    <w:rsid w:val="003A2D11"/>
    <w:rsid w:val="0045514F"/>
    <w:rsid w:val="00491535"/>
    <w:rsid w:val="004F17AF"/>
    <w:rsid w:val="005A30B7"/>
    <w:rsid w:val="00604054"/>
    <w:rsid w:val="00615AE5"/>
    <w:rsid w:val="00625F7E"/>
    <w:rsid w:val="0066038F"/>
    <w:rsid w:val="0066289C"/>
    <w:rsid w:val="006B52B1"/>
    <w:rsid w:val="007F6DFF"/>
    <w:rsid w:val="00866427"/>
    <w:rsid w:val="008E0BEB"/>
    <w:rsid w:val="009371F0"/>
    <w:rsid w:val="00967E05"/>
    <w:rsid w:val="009E478E"/>
    <w:rsid w:val="00A3175E"/>
    <w:rsid w:val="00A3367F"/>
    <w:rsid w:val="00A56D1E"/>
    <w:rsid w:val="00A90C1D"/>
    <w:rsid w:val="00A95C36"/>
    <w:rsid w:val="00AD06D7"/>
    <w:rsid w:val="00B83A11"/>
    <w:rsid w:val="00BB2943"/>
    <w:rsid w:val="00C74A9C"/>
    <w:rsid w:val="00D645FB"/>
    <w:rsid w:val="00E2265B"/>
    <w:rsid w:val="00E31789"/>
    <w:rsid w:val="00EA1ADF"/>
    <w:rsid w:val="00F2049E"/>
    <w:rsid w:val="00F607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E53165-639E-41CF-AEC6-8088F2B6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89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6289C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6289C"/>
    <w:pPr>
      <w:keepNext/>
      <w:ind w:left="60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66289C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6289C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6289C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semiHidden/>
    <w:rsid w:val="0066289C"/>
    <w:pPr>
      <w:jc w:val="both"/>
    </w:pPr>
  </w:style>
  <w:style w:type="paragraph" w:styleId="Sangradetextonormal">
    <w:name w:val="Body Text Indent"/>
    <w:basedOn w:val="Normal"/>
    <w:semiHidden/>
    <w:rsid w:val="0066289C"/>
    <w:pPr>
      <w:ind w:firstLine="2880"/>
      <w:jc w:val="both"/>
    </w:pPr>
  </w:style>
  <w:style w:type="paragraph" w:styleId="Textoindependiente2">
    <w:name w:val="Body Text 2"/>
    <w:basedOn w:val="Normal"/>
    <w:semiHidden/>
    <w:rsid w:val="0066289C"/>
    <w:rPr>
      <w:b/>
      <w:bCs/>
    </w:rPr>
  </w:style>
  <w:style w:type="paragraph" w:styleId="Sangra2detindependiente">
    <w:name w:val="Body Text Indent 2"/>
    <w:basedOn w:val="Normal"/>
    <w:semiHidden/>
    <w:rsid w:val="0066289C"/>
    <w:pPr>
      <w:ind w:left="60"/>
    </w:pPr>
  </w:style>
  <w:style w:type="paragraph" w:styleId="Encabezado">
    <w:name w:val="header"/>
    <w:basedOn w:val="Normal"/>
    <w:link w:val="EncabezadoCar"/>
    <w:uiPriority w:val="99"/>
    <w:semiHidden/>
    <w:unhideWhenUsed/>
    <w:rsid w:val="001C73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C73A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C73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C73A4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</vt:lpstr>
    </vt:vector>
  </TitlesOfParts>
  <Company>****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2018-07-06T13:14:00Z</dcterms:modified>
</cp:coreProperties>
</file>