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5169" w:rsidRPr="00725169" w:rsidRDefault="00725169" w:rsidP="0072516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25169">
        <w:rPr>
          <w:rFonts w:ascii="Book Antiqua" w:hAnsi="Book Antiqua"/>
          <w:sz w:val="24"/>
        </w:rPr>
        <w:t>Yerba Buena, 10 de Marzo de 1993</w:t>
      </w:r>
    </w:p>
    <w:p w:rsidR="00725169" w:rsidRPr="0051027F" w:rsidRDefault="00725169" w:rsidP="00725169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51027F">
        <w:rPr>
          <w:rFonts w:ascii="Book Antiqua" w:hAnsi="Book Antiqua"/>
          <w:b/>
          <w:sz w:val="24"/>
        </w:rPr>
        <w:t>ORDENANZA Nº 533</w:t>
      </w:r>
    </w:p>
    <w:p w:rsidR="00725169" w:rsidRPr="0051027F" w:rsidRDefault="00725169" w:rsidP="0072516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51027F">
        <w:rPr>
          <w:rFonts w:ascii="Book Antiqua" w:hAnsi="Book Antiqua"/>
          <w:b/>
          <w:sz w:val="24"/>
        </w:rPr>
        <w:t>VISTO</w:t>
      </w:r>
      <w:r w:rsidR="00A501B9" w:rsidRPr="0051027F">
        <w:rPr>
          <w:rFonts w:ascii="Book Antiqua" w:hAnsi="Book Antiqua"/>
          <w:b/>
          <w:sz w:val="24"/>
        </w:rPr>
        <w:t xml:space="preserve">: </w:t>
      </w:r>
    </w:p>
    <w:p w:rsidR="00E34AE4" w:rsidRPr="0051027F" w:rsidRDefault="00D84C8B" w:rsidP="00725169">
      <w:pPr>
        <w:keepNext/>
        <w:spacing w:after="180" w:line="240" w:lineRule="auto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La ordenanza N</w:t>
      </w:r>
      <w:r w:rsidR="00725169" w:rsidRPr="0051027F">
        <w:rPr>
          <w:rFonts w:ascii="Book Antiqua" w:hAnsi="Book Antiqua"/>
          <w:sz w:val="24"/>
        </w:rPr>
        <w:t xml:space="preserve">º </w:t>
      </w:r>
      <w:r w:rsidRPr="0051027F">
        <w:rPr>
          <w:rFonts w:ascii="Book Antiqua" w:hAnsi="Book Antiqua"/>
          <w:sz w:val="24"/>
        </w:rPr>
        <w:t>518 de fecha 14/12/92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referida al desarrollo de Actividades Deportivas en el ámbito de la Ciudad de Y</w:t>
      </w:r>
      <w:r w:rsidR="00725169" w:rsidRPr="0051027F">
        <w:rPr>
          <w:rFonts w:ascii="Book Antiqua" w:hAnsi="Book Antiqua"/>
          <w:sz w:val="24"/>
        </w:rPr>
        <w:t xml:space="preserve">. </w:t>
      </w:r>
      <w:r w:rsidRPr="0051027F">
        <w:rPr>
          <w:rFonts w:ascii="Book Antiqua" w:hAnsi="Book Antiqua"/>
          <w:sz w:val="24"/>
        </w:rPr>
        <w:t>Buena destinadas a</w:t>
      </w:r>
      <w:r w:rsidR="00A501B9" w:rsidRPr="0051027F">
        <w:rPr>
          <w:rFonts w:ascii="Book Antiqua" w:hAnsi="Book Antiqua"/>
          <w:sz w:val="24"/>
        </w:rPr>
        <w:t xml:space="preserve">: </w:t>
      </w:r>
      <w:r w:rsidRPr="0051027F">
        <w:rPr>
          <w:rFonts w:ascii="Book Antiqua" w:hAnsi="Book Antiqua"/>
          <w:sz w:val="24"/>
        </w:rPr>
        <w:t>Canchas de Tenis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Squash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Paddle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Papi Futbol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Futbol 5 y similares</w:t>
      </w:r>
      <w:r w:rsidR="00725169" w:rsidRPr="0051027F">
        <w:rPr>
          <w:rFonts w:ascii="Book Antiqua" w:hAnsi="Book Antiqua"/>
          <w:sz w:val="24"/>
        </w:rPr>
        <w:t xml:space="preserve">; </w:t>
      </w:r>
      <w:r w:rsidRPr="0051027F">
        <w:rPr>
          <w:rFonts w:ascii="Book Antiqua" w:hAnsi="Book Antiqua"/>
          <w:sz w:val="24"/>
        </w:rPr>
        <w:t>y</w:t>
      </w:r>
    </w:p>
    <w:p w:rsidR="00725169" w:rsidRPr="0051027F" w:rsidRDefault="00725169" w:rsidP="0072516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51027F">
        <w:rPr>
          <w:rFonts w:ascii="Book Antiqua" w:hAnsi="Book Antiqua"/>
          <w:b/>
          <w:sz w:val="24"/>
        </w:rPr>
        <w:t>CONSIDERANDO</w:t>
      </w:r>
      <w:r w:rsidR="00A501B9" w:rsidRPr="0051027F">
        <w:rPr>
          <w:rFonts w:ascii="Book Antiqua" w:hAnsi="Book Antiqua"/>
          <w:b/>
          <w:sz w:val="24"/>
        </w:rPr>
        <w:t xml:space="preserve">: </w:t>
      </w:r>
    </w:p>
    <w:p w:rsidR="004A2897" w:rsidRPr="0051027F" w:rsidRDefault="00D84C8B" w:rsidP="00725169">
      <w:pPr>
        <w:keepNext/>
        <w:spacing w:after="180" w:line="240" w:lineRule="auto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Que en el artículo 3</w:t>
      </w:r>
      <w:r w:rsidR="00725169" w:rsidRPr="0051027F">
        <w:rPr>
          <w:rFonts w:ascii="Book Antiqua" w:hAnsi="Book Antiqua"/>
          <w:sz w:val="24"/>
        </w:rPr>
        <w:t xml:space="preserve">º </w:t>
      </w:r>
      <w:r w:rsidRPr="0051027F">
        <w:rPr>
          <w:rFonts w:ascii="Book Antiqua" w:hAnsi="Book Antiqua"/>
          <w:sz w:val="24"/>
        </w:rPr>
        <w:t>de la citada ordenanza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por error se transcribió la palabra “Cumplimiento”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cuando en realidad debe leerse “Incumplimiento”</w:t>
      </w:r>
      <w:r w:rsidR="00725169" w:rsidRPr="0051027F">
        <w:rPr>
          <w:rFonts w:ascii="Book Antiqua" w:hAnsi="Book Antiqua"/>
          <w:sz w:val="24"/>
        </w:rPr>
        <w:t>;</w:t>
      </w:r>
    </w:p>
    <w:p w:rsidR="004A2897" w:rsidRPr="0051027F" w:rsidRDefault="004A2897" w:rsidP="004A289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1027F">
        <w:rPr>
          <w:rFonts w:ascii="Book Antiqua" w:hAnsi="Book Antiqua"/>
          <w:b/>
          <w:sz w:val="24"/>
        </w:rPr>
        <w:t>EL CONCEJO DELIBERANTE SANCIONA CON FUERZA DE ORDENANZA</w:t>
      </w:r>
      <w:r w:rsidR="00A501B9" w:rsidRPr="0051027F">
        <w:rPr>
          <w:rFonts w:ascii="Book Antiqua" w:hAnsi="Book Antiqua"/>
          <w:sz w:val="24"/>
        </w:rPr>
        <w:t xml:space="preserve">: </w:t>
      </w:r>
    </w:p>
    <w:p w:rsidR="004A2897" w:rsidRPr="0051027F" w:rsidRDefault="00413908" w:rsidP="00413908">
      <w:pPr>
        <w:keepNext/>
        <w:spacing w:after="180" w:line="240" w:lineRule="auto"/>
        <w:rPr>
          <w:rFonts w:ascii="Book Antiqua" w:hAnsi="Book Antiqua"/>
          <w:sz w:val="24"/>
        </w:rPr>
      </w:pPr>
      <w:r w:rsidRPr="00413908">
        <w:rPr>
          <w:rFonts w:ascii="Book Antiqua" w:hAnsi="Book Antiqua"/>
          <w:sz w:val="24"/>
          <w:u w:val="single"/>
        </w:rPr>
        <w:t>ARTÍCULO PRIMERO</w:t>
      </w:r>
      <w:r w:rsidR="00A501B9" w:rsidRPr="00A501B9">
        <w:rPr>
          <w:rFonts w:ascii="Book Antiqua" w:hAnsi="Book Antiqua"/>
          <w:sz w:val="24"/>
        </w:rPr>
        <w:t>:</w:t>
      </w:r>
      <w:r w:rsidR="00A501B9" w:rsidRPr="0051027F">
        <w:rPr>
          <w:rFonts w:ascii="Book Antiqua" w:hAnsi="Book Antiqua"/>
          <w:sz w:val="24"/>
        </w:rPr>
        <w:t xml:space="preserve"> </w:t>
      </w:r>
      <w:r w:rsidR="00DF7D1C" w:rsidRPr="0051027F">
        <w:rPr>
          <w:rFonts w:ascii="Book Antiqua" w:hAnsi="Book Antiqua"/>
          <w:sz w:val="24"/>
        </w:rPr>
        <w:t>“</w:t>
      </w:r>
      <w:r w:rsidR="00D84C8B" w:rsidRPr="0051027F">
        <w:rPr>
          <w:rFonts w:ascii="Book Antiqua" w:hAnsi="Book Antiqua"/>
          <w:sz w:val="24"/>
        </w:rPr>
        <w:t>MODIFICASE” el Artículo 3</w:t>
      </w:r>
      <w:r w:rsidR="00725169" w:rsidRPr="0051027F">
        <w:rPr>
          <w:rFonts w:ascii="Book Antiqua" w:hAnsi="Book Antiqua"/>
          <w:sz w:val="24"/>
        </w:rPr>
        <w:t xml:space="preserve">º </w:t>
      </w:r>
      <w:r w:rsidR="00D84C8B" w:rsidRPr="0051027F">
        <w:rPr>
          <w:rFonts w:ascii="Book Antiqua" w:hAnsi="Book Antiqua"/>
          <w:sz w:val="24"/>
        </w:rPr>
        <w:t>de la ordenanza n</w:t>
      </w:r>
      <w:r w:rsidR="00725169" w:rsidRPr="0051027F">
        <w:rPr>
          <w:rFonts w:ascii="Book Antiqua" w:hAnsi="Book Antiqua"/>
          <w:sz w:val="24"/>
        </w:rPr>
        <w:t xml:space="preserve">º </w:t>
      </w:r>
      <w:r w:rsidR="00D84C8B" w:rsidRPr="0051027F">
        <w:rPr>
          <w:rFonts w:ascii="Book Antiqua" w:hAnsi="Book Antiqua"/>
          <w:sz w:val="24"/>
        </w:rPr>
        <w:t>518</w:t>
      </w:r>
      <w:r w:rsidR="00725169" w:rsidRPr="0051027F">
        <w:rPr>
          <w:rFonts w:ascii="Book Antiqua" w:hAnsi="Book Antiqua"/>
          <w:sz w:val="24"/>
        </w:rPr>
        <w:t xml:space="preserve">, </w:t>
      </w:r>
      <w:r w:rsidR="00D84C8B" w:rsidRPr="0051027F">
        <w:rPr>
          <w:rFonts w:ascii="Book Antiqua" w:hAnsi="Book Antiqua"/>
          <w:sz w:val="24"/>
        </w:rPr>
        <w:t>del 14/12/92</w:t>
      </w:r>
      <w:r w:rsidR="00725169" w:rsidRPr="0051027F">
        <w:rPr>
          <w:rFonts w:ascii="Book Antiqua" w:hAnsi="Book Antiqua"/>
          <w:sz w:val="24"/>
        </w:rPr>
        <w:t xml:space="preserve">, </w:t>
      </w:r>
      <w:r w:rsidR="00D84C8B" w:rsidRPr="0051027F">
        <w:rPr>
          <w:rFonts w:ascii="Book Antiqua" w:hAnsi="Book Antiqua"/>
          <w:sz w:val="24"/>
        </w:rPr>
        <w:t>el que quedará redactado de la siguiente manera</w:t>
      </w:r>
      <w:r w:rsidR="00A501B9" w:rsidRPr="0051027F">
        <w:rPr>
          <w:rFonts w:ascii="Book Antiqua" w:hAnsi="Book Antiqua"/>
          <w:sz w:val="24"/>
        </w:rPr>
        <w:t xml:space="preserve">: </w:t>
      </w:r>
    </w:p>
    <w:p w:rsidR="00D84C8B" w:rsidRPr="0051027F" w:rsidRDefault="007C1DB4" w:rsidP="00A501B9">
      <w:pPr>
        <w:keepNext/>
        <w:spacing w:after="180" w:line="240" w:lineRule="auto"/>
        <w:ind w:left="284" w:right="282"/>
        <w:jc w:val="left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“Artículo Tercero</w:t>
      </w:r>
      <w:r w:rsidR="00A501B9" w:rsidRPr="0051027F">
        <w:rPr>
          <w:rFonts w:ascii="Book Antiqua" w:hAnsi="Book Antiqua"/>
          <w:sz w:val="24"/>
        </w:rPr>
        <w:t xml:space="preserve">: </w:t>
      </w:r>
      <w:r w:rsidR="00D84C8B" w:rsidRPr="0051027F">
        <w:rPr>
          <w:rFonts w:ascii="Book Antiqua" w:hAnsi="Book Antiqua"/>
          <w:sz w:val="24"/>
        </w:rPr>
        <w:t>CONDICIONANTES PARA INSTALACIONES DEPORTIVAS</w:t>
      </w:r>
    </w:p>
    <w:p w:rsidR="00D84C8B" w:rsidRPr="0051027F" w:rsidRDefault="00D84C8B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Canchas de Tenis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Paddle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Squash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Papi Futbol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Futbol 5 o similares</w:t>
      </w:r>
    </w:p>
    <w:p w:rsidR="004A2897" w:rsidRPr="0051027F" w:rsidRDefault="00A501B9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1. El cerramiento de las canchas no podrá hacer las veces de cerco divisorio debiendo estar a una distancia no menor de 1,20mts de todo eje divisorio a no menos de 300,00mts del eje divisorio del fondo. El cerramiento de las canchas deberá además cumplir con los retiros de frente que le correspondiera a la parcela por zonificación y no estar en ningún caso a menos de 300,00mts de la línea Municipal.</w:t>
      </w:r>
    </w:p>
    <w:p w:rsidR="004A2897" w:rsidRPr="0051027F" w:rsidRDefault="00D84C8B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El cerramiento de las canchas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acorde a la reglamentación deportiva para la actividad será obligatoria a fin de evitar que las pelotas puedan caer en predios vecinos o en la vía pública</w:t>
      </w:r>
      <w:r w:rsidR="00725169" w:rsidRPr="0051027F">
        <w:rPr>
          <w:rFonts w:ascii="Book Antiqua" w:hAnsi="Book Antiqua"/>
          <w:sz w:val="24"/>
        </w:rPr>
        <w:t>.</w:t>
      </w:r>
    </w:p>
    <w:p w:rsidR="004A2897" w:rsidRPr="0051027F" w:rsidRDefault="00D84C8B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2</w:t>
      </w:r>
      <w:r w:rsidR="00725169" w:rsidRPr="0051027F">
        <w:rPr>
          <w:rFonts w:ascii="Book Antiqua" w:hAnsi="Book Antiqua"/>
          <w:sz w:val="24"/>
        </w:rPr>
        <w:t xml:space="preserve">. </w:t>
      </w:r>
      <w:r w:rsidRPr="0051027F">
        <w:rPr>
          <w:rFonts w:ascii="Book Antiqua" w:hAnsi="Book Antiqua"/>
          <w:sz w:val="24"/>
        </w:rPr>
        <w:t>Canchas de Tenis de polvo de ladrillo</w:t>
      </w:r>
      <w:r w:rsidR="00725169" w:rsidRPr="0051027F">
        <w:rPr>
          <w:rFonts w:ascii="Book Antiqua" w:hAnsi="Book Antiqua"/>
          <w:sz w:val="24"/>
        </w:rPr>
        <w:t>.</w:t>
      </w:r>
    </w:p>
    <w:p w:rsidR="004A2897" w:rsidRPr="0051027F" w:rsidRDefault="00D84C8B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Cada cancha deberá contar con cerramiento opaco y continuo en todo su perímetro con la posible excepción de las aberturas de acceso</w:t>
      </w:r>
      <w:r w:rsidR="00A501B9" w:rsidRPr="0051027F">
        <w:rPr>
          <w:rFonts w:ascii="Book Antiqua" w:hAnsi="Book Antiqua"/>
          <w:sz w:val="24"/>
        </w:rPr>
        <w:t xml:space="preserve">: </w:t>
      </w:r>
    </w:p>
    <w:p w:rsidR="004A2897" w:rsidRPr="0051027F" w:rsidRDefault="00A501B9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Deberá colocarse con masa de mampostería hasta una altura no menor de 0,30mts del suelo y continuar con cerco de alambre tejido cubierto con lona, la cual deberá superponerse al muro sin dejar intersticios;</w:t>
      </w:r>
    </w:p>
    <w:p w:rsidR="004A2897" w:rsidRPr="0051027F" w:rsidRDefault="00A501B9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Por encima de 1,50mts de altura, la lona contará con perforaciones regulares.</w:t>
      </w:r>
    </w:p>
    <w:p w:rsidR="004A2897" w:rsidRPr="0051027F" w:rsidRDefault="00A501B9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La altura total del cerramiento será de 4,40mts Pudiendo exceder la misma solamente si no se contraviene en su esencia misma otra norma referida a la altura de los cercos o máxima edificación según se la ubicación de los cercos dentro de la parcela.</w:t>
      </w:r>
    </w:p>
    <w:p w:rsidR="004A2897" w:rsidRPr="0051027F" w:rsidRDefault="00FE5F6D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 xml:space="preserve">El perímetro externo del área que ocupan </w:t>
      </w:r>
      <w:r w:rsidR="00DF7D1C" w:rsidRPr="0051027F">
        <w:rPr>
          <w:rFonts w:ascii="Book Antiqua" w:hAnsi="Book Antiqua"/>
          <w:sz w:val="24"/>
        </w:rPr>
        <w:t>las canchas de Tenis deberá ser arbolado con especies frondosas de copa alta y hojas perennes</w:t>
      </w:r>
      <w:r w:rsidR="00725169" w:rsidRPr="0051027F">
        <w:rPr>
          <w:rFonts w:ascii="Book Antiqua" w:hAnsi="Book Antiqua"/>
          <w:sz w:val="24"/>
        </w:rPr>
        <w:t>.</w:t>
      </w:r>
    </w:p>
    <w:p w:rsidR="004A2897" w:rsidRPr="0051027F" w:rsidRDefault="00DF7D1C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lastRenderedPageBreak/>
        <w:t>Podrá no cumplirse con este requisito sobre el desarrollo de longitud mayor de las canchas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cuando se trate solamente de una</w:t>
      </w:r>
      <w:r w:rsidR="00725169" w:rsidRPr="0051027F">
        <w:rPr>
          <w:rFonts w:ascii="Book Antiqua" w:hAnsi="Book Antiqua"/>
          <w:sz w:val="24"/>
        </w:rPr>
        <w:t>.</w:t>
      </w:r>
    </w:p>
    <w:p w:rsidR="004A2897" w:rsidRPr="0051027F" w:rsidRDefault="00DF7D1C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Se deberá presentar a los efectos de tramitar la aprobación de los planos de obra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 xml:space="preserve">plano o factibilidad aprobada por Dipos y detalle del sistema de drenaje </w:t>
      </w:r>
      <w:r w:rsidR="00413908" w:rsidRPr="0051027F">
        <w:rPr>
          <w:rFonts w:ascii="Book Antiqua" w:hAnsi="Book Antiqua"/>
          <w:sz w:val="24"/>
        </w:rPr>
        <w:t>previsto</w:t>
      </w:r>
      <w:r w:rsidR="007C1DB4" w:rsidRPr="0051027F">
        <w:rPr>
          <w:rFonts w:ascii="Book Antiqua" w:hAnsi="Book Antiqua"/>
          <w:sz w:val="24"/>
        </w:rPr>
        <w:t xml:space="preserve"> </w:t>
      </w:r>
      <w:r w:rsidRPr="0051027F">
        <w:rPr>
          <w:rFonts w:ascii="Book Antiqua" w:hAnsi="Book Antiqua"/>
          <w:sz w:val="24"/>
        </w:rPr>
        <w:t>por el cual se deberá garantizar que no drenen a la vía pública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partículas de polvo de ladrillo en suspensión</w:t>
      </w:r>
      <w:r w:rsidR="00725169" w:rsidRPr="0051027F">
        <w:rPr>
          <w:rFonts w:ascii="Book Antiqua" w:hAnsi="Book Antiqua"/>
          <w:sz w:val="24"/>
        </w:rPr>
        <w:t>.</w:t>
      </w:r>
    </w:p>
    <w:p w:rsidR="004A2897" w:rsidRPr="0051027F" w:rsidRDefault="00DF7D1C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Las canchas deberán ser regadas no menos de tres</w:t>
      </w:r>
      <w:r w:rsidR="004A2897" w:rsidRPr="0051027F">
        <w:rPr>
          <w:rFonts w:ascii="Book Antiqua" w:hAnsi="Book Antiqua"/>
          <w:sz w:val="24"/>
        </w:rPr>
        <w:t xml:space="preserve"> </w:t>
      </w:r>
      <w:r w:rsidR="00725169" w:rsidRPr="0051027F">
        <w:rPr>
          <w:rFonts w:ascii="Book Antiqua" w:hAnsi="Book Antiqua"/>
          <w:sz w:val="24"/>
        </w:rPr>
        <w:t>(</w:t>
      </w:r>
      <w:r w:rsidRPr="0051027F">
        <w:rPr>
          <w:rFonts w:ascii="Book Antiqua" w:hAnsi="Book Antiqua"/>
          <w:sz w:val="24"/>
        </w:rPr>
        <w:t>3</w:t>
      </w:r>
      <w:r w:rsidR="00725169" w:rsidRPr="0051027F">
        <w:rPr>
          <w:rFonts w:ascii="Book Antiqua" w:hAnsi="Book Antiqua"/>
          <w:sz w:val="24"/>
        </w:rPr>
        <w:t>)</w:t>
      </w:r>
      <w:r w:rsidR="004A2897" w:rsidRPr="0051027F">
        <w:rPr>
          <w:rFonts w:ascii="Book Antiqua" w:hAnsi="Book Antiqua"/>
          <w:sz w:val="24"/>
        </w:rPr>
        <w:t xml:space="preserve"> </w:t>
      </w:r>
      <w:r w:rsidRPr="0051027F">
        <w:rPr>
          <w:rFonts w:ascii="Book Antiqua" w:hAnsi="Book Antiqua"/>
          <w:sz w:val="24"/>
        </w:rPr>
        <w:t>veces por día durante la mañana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tarde y noche</w:t>
      </w:r>
      <w:r w:rsidR="00725169" w:rsidRPr="0051027F">
        <w:rPr>
          <w:rFonts w:ascii="Book Antiqua" w:hAnsi="Book Antiqua"/>
          <w:sz w:val="24"/>
        </w:rPr>
        <w:t>.</w:t>
      </w:r>
    </w:p>
    <w:p w:rsidR="004A2897" w:rsidRPr="0051027F" w:rsidRDefault="00DF7D1C" w:rsidP="00717262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51027F">
        <w:rPr>
          <w:rFonts w:ascii="Book Antiqua" w:hAnsi="Book Antiqua"/>
          <w:sz w:val="24"/>
        </w:rPr>
        <w:t>De verificarse el “incumplimiento” sistemático de ésta disposición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previa notificación al interesado y transcurriendo diez</w:t>
      </w:r>
      <w:r w:rsidR="004A2897" w:rsidRPr="0051027F">
        <w:rPr>
          <w:rFonts w:ascii="Book Antiqua" w:hAnsi="Book Antiqua"/>
          <w:sz w:val="24"/>
        </w:rPr>
        <w:t xml:space="preserve"> </w:t>
      </w:r>
      <w:r w:rsidR="00725169" w:rsidRPr="0051027F">
        <w:rPr>
          <w:rFonts w:ascii="Book Antiqua" w:hAnsi="Book Antiqua"/>
          <w:sz w:val="24"/>
        </w:rPr>
        <w:t>(</w:t>
      </w:r>
      <w:r w:rsidRPr="0051027F">
        <w:rPr>
          <w:rFonts w:ascii="Book Antiqua" w:hAnsi="Book Antiqua"/>
          <w:sz w:val="24"/>
        </w:rPr>
        <w:t>10</w:t>
      </w:r>
      <w:r w:rsidR="00725169" w:rsidRPr="0051027F">
        <w:rPr>
          <w:rFonts w:ascii="Book Antiqua" w:hAnsi="Book Antiqua"/>
          <w:sz w:val="24"/>
        </w:rPr>
        <w:t>)</w:t>
      </w:r>
      <w:r w:rsidR="004A2897" w:rsidRPr="0051027F">
        <w:rPr>
          <w:rFonts w:ascii="Book Antiqua" w:hAnsi="Book Antiqua"/>
          <w:sz w:val="24"/>
        </w:rPr>
        <w:t xml:space="preserve"> </w:t>
      </w:r>
      <w:r w:rsidRPr="0051027F">
        <w:rPr>
          <w:rFonts w:ascii="Book Antiqua" w:hAnsi="Book Antiqua"/>
          <w:sz w:val="24"/>
        </w:rPr>
        <w:t>días sin que éste cumplimente con lo requerido</w:t>
      </w:r>
      <w:r w:rsidR="00725169" w:rsidRPr="0051027F">
        <w:rPr>
          <w:rFonts w:ascii="Book Antiqua" w:hAnsi="Book Antiqua"/>
          <w:sz w:val="24"/>
        </w:rPr>
        <w:t xml:space="preserve">, </w:t>
      </w:r>
      <w:r w:rsidRPr="0051027F">
        <w:rPr>
          <w:rFonts w:ascii="Book Antiqua" w:hAnsi="Book Antiqua"/>
          <w:sz w:val="24"/>
        </w:rPr>
        <w:t>se procederá a la baja de la habilitación y también se procederá a la baja de la misma cuando hubiera sido necesario reiterar notificaciones o cursar otras por recurrencia del interesado</w:t>
      </w:r>
      <w:r w:rsidR="00725169" w:rsidRPr="0051027F">
        <w:rPr>
          <w:rFonts w:ascii="Book Antiqua" w:hAnsi="Book Antiqua"/>
          <w:sz w:val="24"/>
        </w:rPr>
        <w:t>.</w:t>
      </w:r>
      <w:r w:rsidR="007C1DB4" w:rsidRPr="0051027F">
        <w:rPr>
          <w:rFonts w:ascii="Book Antiqua" w:hAnsi="Book Antiqua"/>
          <w:sz w:val="24"/>
        </w:rPr>
        <w:t>”</w:t>
      </w:r>
    </w:p>
    <w:p w:rsidR="006F2884" w:rsidRPr="0051027F" w:rsidRDefault="00413908" w:rsidP="00725169">
      <w:pPr>
        <w:keepNext/>
        <w:spacing w:after="180" w:line="240" w:lineRule="auto"/>
        <w:rPr>
          <w:rFonts w:ascii="Book Antiqua" w:hAnsi="Book Antiqua"/>
          <w:sz w:val="24"/>
        </w:rPr>
      </w:pPr>
      <w:r w:rsidRPr="00413908">
        <w:rPr>
          <w:rFonts w:ascii="Book Antiqua" w:hAnsi="Book Antiqua"/>
          <w:sz w:val="24"/>
          <w:u w:val="single"/>
        </w:rPr>
        <w:t>ARTÍCULO SEGUNDO</w:t>
      </w:r>
      <w:r w:rsidR="00A501B9" w:rsidRPr="00A501B9">
        <w:rPr>
          <w:rFonts w:ascii="Book Antiqua" w:hAnsi="Book Antiqua"/>
          <w:sz w:val="24"/>
        </w:rPr>
        <w:t>:</w:t>
      </w:r>
      <w:r w:rsidR="00A501B9" w:rsidRPr="0051027F">
        <w:rPr>
          <w:rFonts w:ascii="Book Antiqua" w:hAnsi="Book Antiqua"/>
          <w:sz w:val="24"/>
        </w:rPr>
        <w:t xml:space="preserve"> </w:t>
      </w:r>
      <w:r w:rsidR="003E657F" w:rsidRPr="0051027F">
        <w:rPr>
          <w:rFonts w:ascii="Book Antiqua" w:hAnsi="Book Antiqua"/>
          <w:sz w:val="24"/>
        </w:rPr>
        <w:t>COMUNÍQUESE</w:t>
      </w:r>
      <w:r w:rsidR="00725169" w:rsidRPr="0051027F">
        <w:rPr>
          <w:rFonts w:ascii="Book Antiqua" w:hAnsi="Book Antiqua"/>
          <w:sz w:val="24"/>
        </w:rPr>
        <w:t xml:space="preserve">, </w:t>
      </w:r>
      <w:r w:rsidR="003E657F" w:rsidRPr="0051027F">
        <w:rPr>
          <w:rFonts w:ascii="Book Antiqua" w:hAnsi="Book Antiqua"/>
          <w:sz w:val="24"/>
        </w:rPr>
        <w:t>CÓPIESE y ARCHÍVESE</w:t>
      </w:r>
      <w:r w:rsidR="00725169" w:rsidRPr="0051027F">
        <w:rPr>
          <w:rFonts w:ascii="Book Antiqua" w:hAnsi="Book Antiqua"/>
          <w:sz w:val="24"/>
        </w:rPr>
        <w:t>.</w:t>
      </w:r>
    </w:p>
    <w:sectPr w:rsidR="006F2884" w:rsidRPr="0051027F" w:rsidSect="00F42A73">
      <w:footerReference w:type="default" r:id="rId8"/>
      <w:pgSz w:w="11906" w:h="16838"/>
      <w:pgMar w:top="1417" w:right="1134" w:bottom="1134" w:left="1701" w:header="709" w:footer="709" w:gutter="0"/>
      <w:pgNumType w:start="4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1866" w:rsidRDefault="00041866" w:rsidP="00041866">
      <w:pPr>
        <w:spacing w:after="0" w:line="240" w:lineRule="auto"/>
      </w:pPr>
      <w:r>
        <w:separator/>
      </w:r>
    </w:p>
  </w:endnote>
  <w:endnote w:type="continuationSeparator" w:id="0">
    <w:p w:rsidR="00041866" w:rsidRDefault="00041866" w:rsidP="000418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1866" w:rsidRPr="00F42A73" w:rsidRDefault="0004186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1866" w:rsidRDefault="00041866" w:rsidP="00041866">
      <w:pPr>
        <w:spacing w:after="0" w:line="240" w:lineRule="auto"/>
      </w:pPr>
      <w:r>
        <w:separator/>
      </w:r>
    </w:p>
  </w:footnote>
  <w:footnote w:type="continuationSeparator" w:id="0">
    <w:p w:rsidR="00041866" w:rsidRDefault="00041866" w:rsidP="000418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84C8B"/>
    <w:rsid w:val="00032340"/>
    <w:rsid w:val="00041866"/>
    <w:rsid w:val="00042A6F"/>
    <w:rsid w:val="00050EB2"/>
    <w:rsid w:val="00060761"/>
    <w:rsid w:val="0006739F"/>
    <w:rsid w:val="000776C1"/>
    <w:rsid w:val="000918BC"/>
    <w:rsid w:val="000C014B"/>
    <w:rsid w:val="000D6F58"/>
    <w:rsid w:val="0015059B"/>
    <w:rsid w:val="001A4ABB"/>
    <w:rsid w:val="001C7B13"/>
    <w:rsid w:val="00206F3F"/>
    <w:rsid w:val="00222916"/>
    <w:rsid w:val="00257739"/>
    <w:rsid w:val="00296836"/>
    <w:rsid w:val="002D575E"/>
    <w:rsid w:val="00344FFA"/>
    <w:rsid w:val="0038746B"/>
    <w:rsid w:val="003B6FEB"/>
    <w:rsid w:val="003E657F"/>
    <w:rsid w:val="00413908"/>
    <w:rsid w:val="00437B1A"/>
    <w:rsid w:val="004A2897"/>
    <w:rsid w:val="004C22B0"/>
    <w:rsid w:val="004D1236"/>
    <w:rsid w:val="004F0900"/>
    <w:rsid w:val="0051027F"/>
    <w:rsid w:val="005336DA"/>
    <w:rsid w:val="00551283"/>
    <w:rsid w:val="00576EED"/>
    <w:rsid w:val="005952EA"/>
    <w:rsid w:val="0062736D"/>
    <w:rsid w:val="0066342C"/>
    <w:rsid w:val="006B6445"/>
    <w:rsid w:val="006F2884"/>
    <w:rsid w:val="00717262"/>
    <w:rsid w:val="00725169"/>
    <w:rsid w:val="007457B0"/>
    <w:rsid w:val="0075143F"/>
    <w:rsid w:val="007569B4"/>
    <w:rsid w:val="007B73E1"/>
    <w:rsid w:val="007C1DB4"/>
    <w:rsid w:val="007D2FF1"/>
    <w:rsid w:val="007E6ABD"/>
    <w:rsid w:val="007F1AB9"/>
    <w:rsid w:val="007F385C"/>
    <w:rsid w:val="00804A05"/>
    <w:rsid w:val="008D5352"/>
    <w:rsid w:val="008F2FDA"/>
    <w:rsid w:val="00967600"/>
    <w:rsid w:val="00A501B9"/>
    <w:rsid w:val="00A703B2"/>
    <w:rsid w:val="00B053E2"/>
    <w:rsid w:val="00B50337"/>
    <w:rsid w:val="00B52DBE"/>
    <w:rsid w:val="00B923D8"/>
    <w:rsid w:val="00BB2ED4"/>
    <w:rsid w:val="00BC05E6"/>
    <w:rsid w:val="00C049C7"/>
    <w:rsid w:val="00C267EE"/>
    <w:rsid w:val="00C72063"/>
    <w:rsid w:val="00CB7A25"/>
    <w:rsid w:val="00CC501C"/>
    <w:rsid w:val="00CE1123"/>
    <w:rsid w:val="00D16198"/>
    <w:rsid w:val="00D35E40"/>
    <w:rsid w:val="00D84C8B"/>
    <w:rsid w:val="00DA483D"/>
    <w:rsid w:val="00DF7D1C"/>
    <w:rsid w:val="00E047E1"/>
    <w:rsid w:val="00E34AE4"/>
    <w:rsid w:val="00E47BB3"/>
    <w:rsid w:val="00E63AE0"/>
    <w:rsid w:val="00E83345"/>
    <w:rsid w:val="00E86E67"/>
    <w:rsid w:val="00ED7E83"/>
    <w:rsid w:val="00F02A4C"/>
    <w:rsid w:val="00F42A73"/>
    <w:rsid w:val="00F677E8"/>
    <w:rsid w:val="00F67F84"/>
    <w:rsid w:val="00FE5F6D"/>
    <w:rsid w:val="00FF32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418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4186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418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41866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8F20AB-CEF1-446D-96F6-B309E4E856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29</TotalTime>
  <Pages>2</Pages>
  <Words>479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2017-10-04T15:12:00Z</cp:lastPrinted>
  <dcterms:created xsi:type="dcterms:W3CDTF">2017-01-16T20:37:00Z</dcterms:created>
  <dcterms:modified xsi:type="dcterms:W3CDTF">2017-10-04T15:12:00Z</dcterms:modified>
</cp:coreProperties>
</file>