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D20" w:rsidRPr="003B6D20" w:rsidRDefault="003B6D20" w:rsidP="003B6D2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3B6D20">
        <w:rPr>
          <w:rFonts w:ascii="Book Antiqua" w:hAnsi="Book Antiqua"/>
          <w:sz w:val="24"/>
        </w:rPr>
        <w:t>Yerba Buena, 18 de Junio de 1997</w:t>
      </w:r>
    </w:p>
    <w:p w:rsidR="003B6D20" w:rsidRPr="00361EC6" w:rsidRDefault="003B6D20" w:rsidP="003B6D20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361EC6">
        <w:rPr>
          <w:rFonts w:ascii="Book Antiqua" w:hAnsi="Book Antiqua"/>
          <w:b/>
          <w:sz w:val="24"/>
        </w:rPr>
        <w:t>ORDENANZA Nº 836</w:t>
      </w:r>
    </w:p>
    <w:p w:rsidR="003B6D20" w:rsidRPr="00361EC6" w:rsidRDefault="003B6D20" w:rsidP="003B6D2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61EC6">
        <w:rPr>
          <w:rFonts w:ascii="Book Antiqua" w:hAnsi="Book Antiqua"/>
          <w:b/>
          <w:sz w:val="24"/>
        </w:rPr>
        <w:t>VISTO</w:t>
      </w:r>
      <w:r w:rsidR="002D7791" w:rsidRPr="00361EC6">
        <w:rPr>
          <w:rFonts w:ascii="Book Antiqua" w:hAnsi="Book Antiqua"/>
          <w:b/>
          <w:sz w:val="24"/>
        </w:rPr>
        <w:t xml:space="preserve">: </w:t>
      </w:r>
    </w:p>
    <w:p w:rsidR="00D84B8A" w:rsidRPr="00361EC6" w:rsidRDefault="002D7791" w:rsidP="003B6D20">
      <w:pPr>
        <w:keepNext/>
        <w:spacing w:after="180" w:line="240" w:lineRule="auto"/>
        <w:rPr>
          <w:rFonts w:ascii="Book Antiqua" w:hAnsi="Book Antiqua"/>
          <w:sz w:val="24"/>
        </w:rPr>
      </w:pPr>
      <w:r w:rsidRPr="00361EC6">
        <w:rPr>
          <w:rFonts w:ascii="Book Antiqua" w:hAnsi="Book Antiqua"/>
          <w:sz w:val="24"/>
        </w:rPr>
        <w:t>Los Exptes. Nº 069-S-97, 087-Y-97 y Expte. Nº 3517-M17-S-96 referente a Documentación técnica de ampliación, conforme a obra, del Padrón Nº 184.714, y</w:t>
      </w:r>
    </w:p>
    <w:p w:rsidR="003B6D20" w:rsidRPr="00361EC6" w:rsidRDefault="003B6D20" w:rsidP="003B6D2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61EC6">
        <w:rPr>
          <w:rFonts w:ascii="Book Antiqua" w:hAnsi="Book Antiqua"/>
          <w:b/>
          <w:sz w:val="24"/>
        </w:rPr>
        <w:t>CONSIDERANDO</w:t>
      </w:r>
      <w:r w:rsidR="002D7791" w:rsidRPr="00361EC6">
        <w:rPr>
          <w:rFonts w:ascii="Book Antiqua" w:hAnsi="Book Antiqua"/>
          <w:b/>
          <w:sz w:val="24"/>
        </w:rPr>
        <w:t xml:space="preserve">: </w:t>
      </w:r>
    </w:p>
    <w:p w:rsidR="00BB351B" w:rsidRPr="00361EC6" w:rsidRDefault="00FC211C" w:rsidP="003B6D20">
      <w:pPr>
        <w:keepNext/>
        <w:spacing w:after="180" w:line="240" w:lineRule="auto"/>
        <w:rPr>
          <w:rFonts w:ascii="Book Antiqua" w:hAnsi="Book Antiqua"/>
          <w:sz w:val="24"/>
        </w:rPr>
      </w:pPr>
      <w:r w:rsidRPr="00361EC6">
        <w:rPr>
          <w:rFonts w:ascii="Book Antiqua" w:hAnsi="Book Antiqua"/>
          <w:sz w:val="24"/>
        </w:rPr>
        <w:t xml:space="preserve">Que </w:t>
      </w:r>
      <w:r w:rsidR="002E66E9" w:rsidRPr="00361EC6">
        <w:rPr>
          <w:rFonts w:ascii="Book Antiqua" w:hAnsi="Book Antiqua"/>
          <w:sz w:val="24"/>
        </w:rPr>
        <w:t>la Documentación Técnica se refiere a la ampliación de la construcción existente habiéndose realizado una cochera semicubierta avanzando sobre la zona de retiro</w:t>
      </w:r>
      <w:r w:rsidR="003B6D20" w:rsidRPr="00361EC6">
        <w:rPr>
          <w:rFonts w:ascii="Book Antiqua" w:hAnsi="Book Antiqua"/>
          <w:sz w:val="24"/>
        </w:rPr>
        <w:t>;</w:t>
      </w:r>
    </w:p>
    <w:p w:rsidR="00BB351B" w:rsidRPr="00361EC6" w:rsidRDefault="002E66E9" w:rsidP="003B6D20">
      <w:pPr>
        <w:keepNext/>
        <w:spacing w:after="180" w:line="240" w:lineRule="auto"/>
        <w:rPr>
          <w:rFonts w:ascii="Book Antiqua" w:hAnsi="Book Antiqua"/>
          <w:sz w:val="24"/>
        </w:rPr>
      </w:pPr>
      <w:r w:rsidRPr="00361EC6">
        <w:rPr>
          <w:rFonts w:ascii="Book Antiqua" w:hAnsi="Book Antiqua"/>
          <w:sz w:val="24"/>
        </w:rPr>
        <w:t>Que si bien no cumple con ordenanzas vigentes</w:t>
      </w:r>
      <w:r w:rsidR="003B6D20" w:rsidRPr="00361EC6">
        <w:rPr>
          <w:rFonts w:ascii="Book Antiqua" w:hAnsi="Book Antiqua"/>
          <w:sz w:val="24"/>
        </w:rPr>
        <w:t xml:space="preserve">, </w:t>
      </w:r>
      <w:r w:rsidRPr="00361EC6">
        <w:rPr>
          <w:rFonts w:ascii="Book Antiqua" w:hAnsi="Book Antiqua"/>
          <w:sz w:val="24"/>
        </w:rPr>
        <w:t>la construcción realizada no altera la estética de la zona</w:t>
      </w:r>
      <w:r w:rsidR="003B6D20" w:rsidRPr="00361EC6">
        <w:rPr>
          <w:rFonts w:ascii="Book Antiqua" w:hAnsi="Book Antiqua"/>
          <w:sz w:val="24"/>
        </w:rPr>
        <w:t>;</w:t>
      </w:r>
    </w:p>
    <w:p w:rsidR="00BB351B" w:rsidRPr="00361EC6" w:rsidRDefault="002E66E9" w:rsidP="003B6D20">
      <w:pPr>
        <w:keepNext/>
        <w:spacing w:after="180" w:line="240" w:lineRule="auto"/>
        <w:rPr>
          <w:rFonts w:ascii="Book Antiqua" w:hAnsi="Book Antiqua"/>
          <w:sz w:val="24"/>
        </w:rPr>
      </w:pPr>
      <w:r w:rsidRPr="00361EC6">
        <w:rPr>
          <w:rFonts w:ascii="Book Antiqua" w:hAnsi="Book Antiqua"/>
          <w:sz w:val="24"/>
        </w:rPr>
        <w:t>Que tratándose de un hecho consumado</w:t>
      </w:r>
      <w:r w:rsidR="003B6D20" w:rsidRPr="00361EC6">
        <w:rPr>
          <w:rFonts w:ascii="Book Antiqua" w:hAnsi="Book Antiqua"/>
          <w:sz w:val="24"/>
        </w:rPr>
        <w:t xml:space="preserve">, </w:t>
      </w:r>
      <w:r w:rsidRPr="00361EC6">
        <w:rPr>
          <w:rFonts w:ascii="Book Antiqua" w:hAnsi="Book Antiqua"/>
          <w:sz w:val="24"/>
        </w:rPr>
        <w:t>este Concejo Deliberante considera que es factible aprobar la Doc</w:t>
      </w:r>
      <w:r w:rsidR="003B6D20" w:rsidRPr="00361EC6">
        <w:rPr>
          <w:rFonts w:ascii="Book Antiqua" w:hAnsi="Book Antiqua"/>
          <w:sz w:val="24"/>
        </w:rPr>
        <w:t xml:space="preserve">. </w:t>
      </w:r>
      <w:r w:rsidRPr="00361EC6">
        <w:rPr>
          <w:rFonts w:ascii="Book Antiqua" w:hAnsi="Book Antiqua"/>
          <w:sz w:val="24"/>
        </w:rPr>
        <w:t>Técnica otorgando la vía de excepción</w:t>
      </w:r>
      <w:r w:rsidR="003B6D20" w:rsidRPr="00361EC6">
        <w:rPr>
          <w:rFonts w:ascii="Book Antiqua" w:hAnsi="Book Antiqua"/>
          <w:sz w:val="24"/>
        </w:rPr>
        <w:t>;</w:t>
      </w:r>
    </w:p>
    <w:p w:rsidR="00BB351B" w:rsidRPr="00361EC6" w:rsidRDefault="00BB351B" w:rsidP="00BB351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61EC6">
        <w:rPr>
          <w:rFonts w:ascii="Book Antiqua" w:hAnsi="Book Antiqua"/>
          <w:b/>
          <w:sz w:val="24"/>
        </w:rPr>
        <w:t>EL CONCEJO DELIBERANTE SANCIONA CON FUERZA DE ORDENANZA</w:t>
      </w:r>
      <w:r w:rsidR="002D7791" w:rsidRPr="00361EC6">
        <w:rPr>
          <w:rFonts w:ascii="Book Antiqua" w:hAnsi="Book Antiqua"/>
          <w:sz w:val="24"/>
        </w:rPr>
        <w:t xml:space="preserve">: </w:t>
      </w:r>
    </w:p>
    <w:p w:rsidR="00BB351B" w:rsidRPr="00361EC6" w:rsidRDefault="00D65295" w:rsidP="00D65295">
      <w:pPr>
        <w:keepNext/>
        <w:spacing w:after="180" w:line="240" w:lineRule="auto"/>
        <w:rPr>
          <w:rFonts w:ascii="Book Antiqua" w:hAnsi="Book Antiqua"/>
          <w:sz w:val="24"/>
        </w:rPr>
      </w:pPr>
      <w:r w:rsidRPr="00D65295">
        <w:rPr>
          <w:rFonts w:ascii="Book Antiqua" w:hAnsi="Book Antiqua"/>
          <w:sz w:val="24"/>
          <w:u w:val="single"/>
        </w:rPr>
        <w:t>ARTÍCULO PRIMERO</w:t>
      </w:r>
      <w:r w:rsidR="002D7791" w:rsidRPr="002D7791">
        <w:rPr>
          <w:rFonts w:ascii="Book Antiqua" w:hAnsi="Book Antiqua"/>
          <w:sz w:val="24"/>
        </w:rPr>
        <w:t>:</w:t>
      </w:r>
      <w:r w:rsidR="002D7791" w:rsidRPr="00361EC6">
        <w:rPr>
          <w:rFonts w:ascii="Book Antiqua" w:hAnsi="Book Antiqua"/>
          <w:sz w:val="24"/>
        </w:rPr>
        <w:t xml:space="preserve"> FACULTESE al D.E.M. a aprobar por vía de excepción la Documentación Técnica que se tramita mediante Expte. Nº 3517-S-97, referida a construcción realizada en la propiedad de la Sra. María T. Sarrulle, identificada como Padrón Nº 184.714, ubicada en calle Las Rosas y Av. Aconquija.</w:t>
      </w:r>
    </w:p>
    <w:p w:rsidR="00BB351B" w:rsidRPr="00361EC6" w:rsidRDefault="00D65295" w:rsidP="00D65295">
      <w:pPr>
        <w:keepNext/>
        <w:spacing w:after="180" w:line="240" w:lineRule="auto"/>
        <w:rPr>
          <w:rFonts w:ascii="Book Antiqua" w:hAnsi="Book Antiqua"/>
          <w:sz w:val="24"/>
        </w:rPr>
      </w:pPr>
      <w:r w:rsidRPr="00D65295">
        <w:rPr>
          <w:rFonts w:ascii="Book Antiqua" w:hAnsi="Book Antiqua"/>
          <w:sz w:val="24"/>
          <w:u w:val="single"/>
        </w:rPr>
        <w:t>ARTÍCULO SEGUNDO</w:t>
      </w:r>
      <w:r w:rsidR="002D7791" w:rsidRPr="002D7791">
        <w:rPr>
          <w:rFonts w:ascii="Book Antiqua" w:hAnsi="Book Antiqua"/>
          <w:sz w:val="24"/>
        </w:rPr>
        <w:t>:</w:t>
      </w:r>
      <w:r w:rsidR="002D7791" w:rsidRPr="00361EC6">
        <w:rPr>
          <w:rFonts w:ascii="Book Antiqua" w:hAnsi="Book Antiqua"/>
          <w:sz w:val="24"/>
        </w:rPr>
        <w:t xml:space="preserve"> </w:t>
      </w:r>
      <w:r w:rsidR="009702D9" w:rsidRPr="00361EC6">
        <w:rPr>
          <w:rFonts w:ascii="Book Antiqua" w:hAnsi="Book Antiqua"/>
          <w:sz w:val="24"/>
        </w:rPr>
        <w:t>COMUNIQUESE</w:t>
      </w:r>
      <w:r w:rsidR="003B6D20" w:rsidRPr="00361EC6">
        <w:rPr>
          <w:rFonts w:ascii="Book Antiqua" w:hAnsi="Book Antiqua"/>
          <w:sz w:val="24"/>
        </w:rPr>
        <w:t xml:space="preserve">, </w:t>
      </w:r>
      <w:r w:rsidR="009702D9" w:rsidRPr="00361EC6">
        <w:rPr>
          <w:rFonts w:ascii="Book Antiqua" w:hAnsi="Book Antiqua"/>
          <w:sz w:val="24"/>
        </w:rPr>
        <w:t>COPIESE Y ARCHIVESE</w:t>
      </w:r>
      <w:r w:rsidR="003B6D20" w:rsidRPr="00361EC6">
        <w:rPr>
          <w:rFonts w:ascii="Book Antiqua" w:hAnsi="Book Antiqua"/>
          <w:sz w:val="24"/>
        </w:rPr>
        <w:t>.</w:t>
      </w:r>
    </w:p>
    <w:sectPr w:rsidR="00BB351B" w:rsidRPr="00361EC6" w:rsidSect="00915E44">
      <w:footerReference w:type="default" r:id="rId7"/>
      <w:pgSz w:w="11906" w:h="16838"/>
      <w:pgMar w:top="1417" w:right="1134" w:bottom="1134" w:left="1701" w:header="709" w:footer="709" w:gutter="0"/>
      <w:pgNumType w:start="79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4123" w:rsidRDefault="000D4123" w:rsidP="000D4123">
      <w:pPr>
        <w:spacing w:after="0" w:line="240" w:lineRule="auto"/>
      </w:pPr>
      <w:r>
        <w:separator/>
      </w:r>
    </w:p>
  </w:endnote>
  <w:endnote w:type="continuationSeparator" w:id="0">
    <w:p w:rsidR="000D4123" w:rsidRDefault="000D4123" w:rsidP="000D4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4123" w:rsidRPr="00915E44" w:rsidRDefault="000D412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4123" w:rsidRDefault="000D4123" w:rsidP="000D4123">
      <w:pPr>
        <w:spacing w:after="0" w:line="240" w:lineRule="auto"/>
      </w:pPr>
      <w:r>
        <w:separator/>
      </w:r>
    </w:p>
  </w:footnote>
  <w:footnote w:type="continuationSeparator" w:id="0">
    <w:p w:rsidR="000D4123" w:rsidRDefault="000D4123" w:rsidP="000D41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702D9"/>
    <w:rsid w:val="000206DB"/>
    <w:rsid w:val="0005235A"/>
    <w:rsid w:val="000776C1"/>
    <w:rsid w:val="000D4123"/>
    <w:rsid w:val="000D6F58"/>
    <w:rsid w:val="000F41FB"/>
    <w:rsid w:val="00100E3E"/>
    <w:rsid w:val="00193FDC"/>
    <w:rsid w:val="00222916"/>
    <w:rsid w:val="002554AD"/>
    <w:rsid w:val="002856B5"/>
    <w:rsid w:val="002D575E"/>
    <w:rsid w:val="002D7791"/>
    <w:rsid w:val="002E66E9"/>
    <w:rsid w:val="003242F3"/>
    <w:rsid w:val="003313B3"/>
    <w:rsid w:val="00355FB9"/>
    <w:rsid w:val="00361EC6"/>
    <w:rsid w:val="003A7873"/>
    <w:rsid w:val="003B6D20"/>
    <w:rsid w:val="003E657F"/>
    <w:rsid w:val="00407BCD"/>
    <w:rsid w:val="00414732"/>
    <w:rsid w:val="004541A0"/>
    <w:rsid w:val="0045658C"/>
    <w:rsid w:val="004A38FA"/>
    <w:rsid w:val="00553572"/>
    <w:rsid w:val="005629B4"/>
    <w:rsid w:val="00574C6F"/>
    <w:rsid w:val="005952EA"/>
    <w:rsid w:val="005A5EEF"/>
    <w:rsid w:val="005D35A6"/>
    <w:rsid w:val="0060111F"/>
    <w:rsid w:val="00680D3B"/>
    <w:rsid w:val="006913F9"/>
    <w:rsid w:val="006F2884"/>
    <w:rsid w:val="0070040C"/>
    <w:rsid w:val="00725C65"/>
    <w:rsid w:val="00793670"/>
    <w:rsid w:val="007B73E1"/>
    <w:rsid w:val="007E6ABD"/>
    <w:rsid w:val="007F1AB9"/>
    <w:rsid w:val="00915E44"/>
    <w:rsid w:val="009612EC"/>
    <w:rsid w:val="0096393A"/>
    <w:rsid w:val="009702D9"/>
    <w:rsid w:val="009C7F1E"/>
    <w:rsid w:val="00A0367A"/>
    <w:rsid w:val="00A23E5C"/>
    <w:rsid w:val="00A703B2"/>
    <w:rsid w:val="00B7153B"/>
    <w:rsid w:val="00B923D8"/>
    <w:rsid w:val="00BB2ED4"/>
    <w:rsid w:val="00BB351B"/>
    <w:rsid w:val="00C049C7"/>
    <w:rsid w:val="00C32D2C"/>
    <w:rsid w:val="00C71974"/>
    <w:rsid w:val="00CA0BDE"/>
    <w:rsid w:val="00CA4A71"/>
    <w:rsid w:val="00CD41D2"/>
    <w:rsid w:val="00CE1123"/>
    <w:rsid w:val="00CE36FB"/>
    <w:rsid w:val="00D65295"/>
    <w:rsid w:val="00D84B8A"/>
    <w:rsid w:val="00E1097C"/>
    <w:rsid w:val="00E34AE4"/>
    <w:rsid w:val="00E410CE"/>
    <w:rsid w:val="00E47BB3"/>
    <w:rsid w:val="00E74E5D"/>
    <w:rsid w:val="00E86078"/>
    <w:rsid w:val="00EA4C3F"/>
    <w:rsid w:val="00EB0F7A"/>
    <w:rsid w:val="00F16ED7"/>
    <w:rsid w:val="00F24A92"/>
    <w:rsid w:val="00FA6BA5"/>
    <w:rsid w:val="00FB0D4E"/>
    <w:rsid w:val="00FC211C"/>
    <w:rsid w:val="00FD5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D41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D412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D41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D412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2017-10-04T15:14:00Z</cp:lastPrinted>
  <dcterms:created xsi:type="dcterms:W3CDTF">2017-02-24T22:11:00Z</dcterms:created>
  <dcterms:modified xsi:type="dcterms:W3CDTF">2017-10-04T15:14:00Z</dcterms:modified>
</cp:coreProperties>
</file>