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1FA9" w:rsidRPr="00F61FA9" w:rsidRDefault="00F61FA9" w:rsidP="00F61FA9">
      <w:pPr>
        <w:keepNext/>
        <w:shd w:val="clear" w:color="auto" w:fill="FFFFFF"/>
        <w:spacing w:after="180" w:line="240" w:lineRule="auto"/>
        <w:jc w:val="right"/>
        <w:rPr>
          <w:rFonts w:ascii="Book Antiqua" w:eastAsia="Times New Roman" w:hAnsi="Book Antiqua" w:cs="Times New Roman"/>
          <w:sz w:val="24"/>
          <w:szCs w:val="24"/>
          <w:lang w:eastAsia="es-AR"/>
        </w:rPr>
      </w:pPr>
      <w:r w:rsidRPr="00F61FA9">
        <w:rPr>
          <w:rFonts w:ascii="Book Antiqua" w:eastAsia="Times New Roman" w:hAnsi="Book Antiqua" w:cs="Times New Roman"/>
          <w:sz w:val="24"/>
          <w:szCs w:val="24"/>
          <w:lang w:eastAsia="es-AR"/>
        </w:rPr>
        <w:t>Yerba Buena, 27 de Octubre de 2000</w:t>
      </w:r>
    </w:p>
    <w:p w:rsidR="00F61FA9" w:rsidRPr="008D4453" w:rsidRDefault="00F61FA9" w:rsidP="00F61FA9">
      <w:pPr>
        <w:keepNext/>
        <w:shd w:val="clear" w:color="auto" w:fill="FFFFFF"/>
        <w:spacing w:before="60" w:after="180" w:line="240" w:lineRule="auto"/>
        <w:rPr>
          <w:rFonts w:ascii="Book Antiqua" w:eastAsia="Times New Roman" w:hAnsi="Book Antiqua" w:cs="Times New Roman"/>
          <w:b/>
          <w:sz w:val="24"/>
          <w:szCs w:val="24"/>
          <w:lang w:eastAsia="es-AR"/>
        </w:rPr>
      </w:pPr>
      <w:r w:rsidRPr="008D4453">
        <w:rPr>
          <w:rFonts w:ascii="Book Antiqua" w:eastAsia="Times New Roman" w:hAnsi="Book Antiqua" w:cs="Times New Roman"/>
          <w:b/>
          <w:sz w:val="24"/>
          <w:szCs w:val="24"/>
          <w:lang w:eastAsia="es-AR"/>
        </w:rPr>
        <w:t>ORDENANZA Nº 1123</w:t>
      </w:r>
    </w:p>
    <w:p w:rsidR="00F61FA9" w:rsidRPr="008D4453" w:rsidRDefault="00F61FA9" w:rsidP="00F61FA9">
      <w:pPr>
        <w:keepNext/>
        <w:shd w:val="clear" w:color="auto" w:fill="FFFFFF"/>
        <w:spacing w:before="60" w:after="60" w:line="240" w:lineRule="auto"/>
        <w:rPr>
          <w:rFonts w:ascii="Book Antiqua" w:eastAsia="Times New Roman" w:hAnsi="Book Antiqua" w:cs="Times New Roman"/>
          <w:b/>
          <w:sz w:val="24"/>
          <w:szCs w:val="24"/>
          <w:lang w:eastAsia="es-AR"/>
        </w:rPr>
      </w:pPr>
      <w:r w:rsidRPr="008D4453">
        <w:rPr>
          <w:rFonts w:ascii="Book Antiqua" w:eastAsia="Times New Roman" w:hAnsi="Book Antiqua" w:cs="Times New Roman"/>
          <w:b/>
          <w:sz w:val="24"/>
          <w:szCs w:val="24"/>
          <w:lang w:eastAsia="es-AR"/>
        </w:rPr>
        <w:t>VISTO</w:t>
      </w:r>
      <w:r w:rsidR="00C54B35" w:rsidRPr="008D4453">
        <w:rPr>
          <w:rFonts w:ascii="Book Antiqua" w:eastAsia="Times New Roman" w:hAnsi="Book Antiqua" w:cs="Times New Roman"/>
          <w:b/>
          <w:sz w:val="24"/>
          <w:szCs w:val="24"/>
          <w:lang w:eastAsia="es-AR"/>
        </w:rPr>
        <w:t xml:space="preserve">: </w:t>
      </w:r>
    </w:p>
    <w:p w:rsidR="002B3056" w:rsidRPr="008D4453" w:rsidRDefault="00C54B35"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La Documentación Técnica correspondiente a CONFORME A OBRA de una construcción ubicada calle Perú esquina Acasuso de esta Ciudad, identificada con el Padrón Nº 678.657, propiedad de la Señora Luz Rosario Heredia de Jiménez; y</w:t>
      </w:r>
    </w:p>
    <w:p w:rsidR="00F61FA9" w:rsidRPr="008D4453" w:rsidRDefault="00F61FA9" w:rsidP="00F61FA9">
      <w:pPr>
        <w:keepNext/>
        <w:shd w:val="clear" w:color="auto" w:fill="FFFFFF"/>
        <w:spacing w:before="60" w:after="60" w:line="240" w:lineRule="auto"/>
        <w:rPr>
          <w:rFonts w:ascii="Book Antiqua" w:eastAsia="Times New Roman" w:hAnsi="Book Antiqua" w:cs="Times New Roman"/>
          <w:b/>
          <w:sz w:val="24"/>
          <w:szCs w:val="24"/>
          <w:lang w:eastAsia="es-AR"/>
        </w:rPr>
      </w:pPr>
      <w:r w:rsidRPr="008D4453">
        <w:rPr>
          <w:rFonts w:ascii="Book Antiqua" w:eastAsia="Times New Roman" w:hAnsi="Book Antiqua" w:cs="Times New Roman"/>
          <w:b/>
          <w:sz w:val="24"/>
          <w:szCs w:val="24"/>
          <w:lang w:eastAsia="es-AR"/>
        </w:rPr>
        <w:t>CONSIDERANDO</w:t>
      </w:r>
      <w:r w:rsidR="00C54B35" w:rsidRPr="008D4453">
        <w:rPr>
          <w:rFonts w:ascii="Book Antiqua" w:eastAsia="Times New Roman" w:hAnsi="Book Antiqua" w:cs="Times New Roman"/>
          <w:b/>
          <w:sz w:val="24"/>
          <w:szCs w:val="24"/>
          <w:lang w:eastAsia="es-AR"/>
        </w:rPr>
        <w:t xml:space="preserve">: </w:t>
      </w:r>
    </w:p>
    <w:p w:rsidR="007D12E1" w:rsidRPr="008D4453" w:rsidRDefault="00C54B35"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Que en la misma se observa un inconveniente en lo que respecta al retiro sobre calle Acasuso donde se produce una invasión de 1.75 m;</w:t>
      </w:r>
    </w:p>
    <w:p w:rsidR="007D12E1" w:rsidRPr="008D4453" w:rsidRDefault="00C54B35"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Que se trata de una propiedad ubicada sobre dos terrenos modificados recientemente, conformando un predio 3.195,00mts de frente, con un fondo de 2.906,00mts con una superficie 90.812,00mts</w:t>
      </w:r>
      <w:r w:rsidRPr="008D4453">
        <w:rPr>
          <w:rFonts w:ascii="Book Antiqua" w:eastAsia="Times New Roman" w:hAnsi="Book Antiqua" w:cs="Times New Roman"/>
          <w:sz w:val="24"/>
          <w:szCs w:val="24"/>
          <w:vertAlign w:val="superscript"/>
          <w:lang w:eastAsia="es-AR"/>
        </w:rPr>
        <w:t>2</w:t>
      </w:r>
      <w:r w:rsidRPr="008D4453">
        <w:rPr>
          <w:rFonts w:ascii="Book Antiqua" w:eastAsia="Times New Roman" w:hAnsi="Book Antiqua" w:cs="Times New Roman"/>
          <w:sz w:val="24"/>
          <w:szCs w:val="24"/>
          <w:lang w:eastAsia="es-AR"/>
        </w:rPr>
        <w:t>;</w:t>
      </w:r>
    </w:p>
    <w:p w:rsidR="007D12E1" w:rsidRPr="008D4453" w:rsidRDefault="00C54B35"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Que al haberse unificado los terrenos, la construcción realizada, que se ubica sobre uno de ellos, supera en el retiro sobre calle Acasuso las exigencias establecidas, por lo que puede encuadrarse en lo dispuesto en la Ordenanza Nº 613/94 (Código de Ordenamiento Urbano) punto 2.2. 2.3- casos de predios esquineros;</w:t>
      </w:r>
    </w:p>
    <w:p w:rsidR="007D12E1" w:rsidRPr="008D4453" w:rsidRDefault="00C54B35"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Que se observa además el criterio de utilizar el otro terreno como área de desborde y no como superficie construida, lo que implica un respecto por la relación construida-verde, logrando con la unificación un relación de F. O. S. (Factor de Ocupación del Suelo) que supera ampliamente la exigencia 0.21, cuando la norma establece 0.5;</w:t>
      </w:r>
    </w:p>
    <w:p w:rsidR="007D12E1" w:rsidRPr="008D4453" w:rsidRDefault="00D401DA"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Que</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en virtud de lo expuesto y conforme lo informado por la Dirección de Catastro</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Edificación y Planeamiento</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informe que es abalado por el Sr</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Secretario de Obras y Servicios Públicos</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es procedente dictar el instrumento legal correspondiente para la aprobación de la citada Documentación Técnica</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por vía de excepción</w:t>
      </w:r>
      <w:r w:rsidR="00F61FA9" w:rsidRPr="008D4453">
        <w:rPr>
          <w:rFonts w:ascii="Book Antiqua" w:eastAsia="Times New Roman" w:hAnsi="Book Antiqua" w:cs="Times New Roman"/>
          <w:sz w:val="24"/>
          <w:szCs w:val="24"/>
          <w:lang w:eastAsia="es-AR"/>
        </w:rPr>
        <w:t>;</w:t>
      </w:r>
    </w:p>
    <w:p w:rsidR="007D12E1" w:rsidRPr="008D4453" w:rsidRDefault="00D401DA" w:rsidP="00F61FA9">
      <w:pPr>
        <w:keepNext/>
        <w:shd w:val="clear" w:color="auto" w:fill="FFFFFF"/>
        <w:spacing w:after="180" w:line="240" w:lineRule="auto"/>
        <w:jc w:val="both"/>
        <w:rPr>
          <w:rFonts w:ascii="Book Antiqua" w:eastAsia="Times New Roman" w:hAnsi="Book Antiqua" w:cs="Times New Roman"/>
          <w:sz w:val="24"/>
          <w:szCs w:val="24"/>
          <w:lang w:eastAsia="es-AR"/>
        </w:rPr>
      </w:pPr>
      <w:r w:rsidRPr="008D4453">
        <w:rPr>
          <w:rFonts w:ascii="Book Antiqua" w:eastAsia="Times New Roman" w:hAnsi="Book Antiqua" w:cs="Times New Roman"/>
          <w:sz w:val="24"/>
          <w:szCs w:val="24"/>
          <w:lang w:eastAsia="es-AR"/>
        </w:rPr>
        <w:t>Por ello y en uso de las facultades que le confiere el Decreto N</w:t>
      </w:r>
      <w:r w:rsidR="00F61FA9" w:rsidRPr="008D4453">
        <w:rPr>
          <w:rFonts w:ascii="Book Antiqua" w:eastAsia="Times New Roman" w:hAnsi="Book Antiqua" w:cs="Times New Roman"/>
          <w:sz w:val="24"/>
          <w:szCs w:val="24"/>
          <w:lang w:eastAsia="es-AR"/>
        </w:rPr>
        <w:t xml:space="preserve">º </w:t>
      </w:r>
      <w:r w:rsidRPr="008D4453">
        <w:rPr>
          <w:rFonts w:ascii="Book Antiqua" w:eastAsia="Times New Roman" w:hAnsi="Book Antiqua" w:cs="Times New Roman"/>
          <w:sz w:val="24"/>
          <w:szCs w:val="24"/>
          <w:lang w:eastAsia="es-AR"/>
        </w:rPr>
        <w:t>822/1 de fecha 19 de Mayo de 2000</w:t>
      </w:r>
      <w:r w:rsidR="00F61FA9" w:rsidRPr="008D4453">
        <w:rPr>
          <w:rFonts w:ascii="Book Antiqua" w:eastAsia="Times New Roman" w:hAnsi="Book Antiqua" w:cs="Times New Roman"/>
          <w:sz w:val="24"/>
          <w:szCs w:val="24"/>
          <w:lang w:eastAsia="es-AR"/>
        </w:rPr>
        <w:t xml:space="preserve">, </w:t>
      </w:r>
      <w:r w:rsidRPr="008D4453">
        <w:rPr>
          <w:rFonts w:ascii="Book Antiqua" w:eastAsia="Times New Roman" w:hAnsi="Book Antiqua" w:cs="Times New Roman"/>
          <w:sz w:val="24"/>
          <w:szCs w:val="24"/>
          <w:lang w:eastAsia="es-AR"/>
        </w:rPr>
        <w:t>emitido por el Poder Ejecutivo Provincial</w:t>
      </w:r>
      <w:r w:rsidR="00F61FA9" w:rsidRPr="008D4453">
        <w:rPr>
          <w:rFonts w:ascii="Book Antiqua" w:eastAsia="Times New Roman" w:hAnsi="Book Antiqua" w:cs="Times New Roman"/>
          <w:sz w:val="24"/>
          <w:szCs w:val="24"/>
          <w:lang w:eastAsia="es-AR"/>
        </w:rPr>
        <w:t>;</w:t>
      </w:r>
    </w:p>
    <w:p w:rsidR="009E13B0" w:rsidRPr="008D4453" w:rsidRDefault="007D12E1" w:rsidP="007D12E1">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8D4453">
        <w:rPr>
          <w:rFonts w:ascii="Book Antiqua" w:eastAsia="Times New Roman" w:hAnsi="Book Antiqua" w:cs="Times New Roman"/>
          <w:b/>
          <w:sz w:val="24"/>
          <w:szCs w:val="24"/>
          <w:lang w:eastAsia="es-AR"/>
        </w:rPr>
        <w:t>EL INTERVENTOR MUNICIPAL SANCIONA CON FUERZA DE ORDENANZA</w:t>
      </w:r>
    </w:p>
    <w:p w:rsidR="007D12E1" w:rsidRPr="008D4453" w:rsidRDefault="003E1B23" w:rsidP="003E1B23">
      <w:pPr>
        <w:keepNext/>
        <w:spacing w:after="180" w:line="240" w:lineRule="auto"/>
        <w:jc w:val="both"/>
        <w:rPr>
          <w:rFonts w:ascii="Book Antiqua" w:eastAsia="Times New Roman" w:hAnsi="Book Antiqua" w:cs="Times New Roman"/>
          <w:sz w:val="24"/>
          <w:szCs w:val="24"/>
          <w:lang w:eastAsia="es-AR"/>
        </w:rPr>
      </w:pPr>
      <w:r w:rsidRPr="003E1B23">
        <w:rPr>
          <w:rFonts w:ascii="Book Antiqua" w:eastAsia="Times New Roman" w:hAnsi="Book Antiqua" w:cs="Times New Roman"/>
          <w:sz w:val="24"/>
          <w:szCs w:val="24"/>
          <w:u w:val="single"/>
          <w:lang w:eastAsia="es-AR"/>
        </w:rPr>
        <w:t>ARTÍCULO PRIMERO</w:t>
      </w:r>
      <w:r w:rsidR="00C54B35" w:rsidRPr="00C54B35">
        <w:rPr>
          <w:rFonts w:ascii="Book Antiqua" w:eastAsia="Times New Roman" w:hAnsi="Book Antiqua" w:cs="Times New Roman"/>
          <w:sz w:val="24"/>
          <w:szCs w:val="24"/>
          <w:lang w:eastAsia="es-AR"/>
        </w:rPr>
        <w:t>:</w:t>
      </w:r>
      <w:r w:rsidR="00C54B35" w:rsidRPr="008D4453">
        <w:rPr>
          <w:rFonts w:ascii="Book Antiqua" w:eastAsia="Times New Roman" w:hAnsi="Book Antiqua" w:cs="Times New Roman"/>
          <w:sz w:val="24"/>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678.657, ubicado en calle Perú esquina Acasuso de nuestra Ciudad, propiedad de la Sra. LUZ ROSARIO HEREDIA DE JIMËNEZ.</w:t>
      </w:r>
    </w:p>
    <w:p w:rsidR="008213C0" w:rsidRPr="00F61FA9" w:rsidRDefault="003E1B23" w:rsidP="00F61FA9">
      <w:pPr>
        <w:keepNext/>
        <w:spacing w:after="180" w:line="240" w:lineRule="auto"/>
        <w:jc w:val="both"/>
        <w:rPr>
          <w:rFonts w:ascii="Book Antiqua" w:hAnsi="Book Antiqua" w:cs="Times New Roman"/>
          <w:sz w:val="24"/>
        </w:rPr>
      </w:pPr>
      <w:r w:rsidRPr="003E1B23">
        <w:rPr>
          <w:rFonts w:ascii="Book Antiqua" w:eastAsia="Times New Roman" w:hAnsi="Book Antiqua" w:cs="Times New Roman"/>
          <w:sz w:val="24"/>
          <w:szCs w:val="24"/>
          <w:u w:val="single"/>
          <w:lang w:eastAsia="es-AR"/>
        </w:rPr>
        <w:t>ARTÍCULO SEGUNDO</w:t>
      </w:r>
      <w:r w:rsidR="00C54B35" w:rsidRPr="00C54B35">
        <w:rPr>
          <w:rFonts w:ascii="Book Antiqua" w:eastAsia="Times New Roman" w:hAnsi="Book Antiqua" w:cs="Times New Roman"/>
          <w:sz w:val="24"/>
          <w:szCs w:val="24"/>
          <w:lang w:eastAsia="es-AR"/>
        </w:rPr>
        <w:t>:</w:t>
      </w:r>
      <w:r w:rsidR="00C54B35" w:rsidRPr="008D4453">
        <w:rPr>
          <w:rFonts w:ascii="Book Antiqua" w:eastAsia="Times New Roman" w:hAnsi="Book Antiqua" w:cs="Times New Roman"/>
          <w:sz w:val="24"/>
          <w:szCs w:val="24"/>
          <w:lang w:eastAsia="es-AR"/>
        </w:rPr>
        <w:t xml:space="preserve"> </w:t>
      </w:r>
      <w:r w:rsidR="008213C0" w:rsidRPr="008D4453">
        <w:rPr>
          <w:rFonts w:ascii="Book Antiqua" w:eastAsia="Times New Roman" w:hAnsi="Book Antiqua" w:cs="Times New Roman"/>
          <w:sz w:val="24"/>
          <w:szCs w:val="24"/>
          <w:lang w:eastAsia="es-AR"/>
        </w:rPr>
        <w:t>COMUNIQUESE</w:t>
      </w:r>
      <w:r w:rsidR="00F61FA9" w:rsidRPr="008D4453">
        <w:rPr>
          <w:rFonts w:ascii="Book Antiqua" w:eastAsia="Times New Roman" w:hAnsi="Book Antiqua" w:cs="Times New Roman"/>
          <w:sz w:val="24"/>
          <w:szCs w:val="24"/>
          <w:lang w:eastAsia="es-AR"/>
        </w:rPr>
        <w:t xml:space="preserve">, </w:t>
      </w:r>
      <w:r w:rsidR="008213C0" w:rsidRPr="008D4453">
        <w:rPr>
          <w:rFonts w:ascii="Book Antiqua" w:eastAsia="Times New Roman" w:hAnsi="Book Antiqua" w:cs="Times New Roman"/>
          <w:sz w:val="24"/>
          <w:szCs w:val="24"/>
          <w:lang w:eastAsia="es-AR"/>
        </w:rPr>
        <w:t>COPIESE Y ARCHIVESE</w:t>
      </w:r>
      <w:r w:rsidR="00F61FA9" w:rsidRPr="008D4453">
        <w:rPr>
          <w:rFonts w:ascii="Book Antiqua" w:eastAsia="Times New Roman" w:hAnsi="Book Antiqua" w:cs="Times New Roman"/>
          <w:sz w:val="24"/>
          <w:szCs w:val="24"/>
          <w:lang w:eastAsia="es-AR"/>
        </w:rPr>
        <w:t>.</w:t>
      </w:r>
      <w:r w:rsidR="008D4453" w:rsidRPr="00F61FA9">
        <w:rPr>
          <w:rFonts w:ascii="Book Antiqua" w:hAnsi="Book Antiqua" w:cs="Times New Roman"/>
          <w:sz w:val="24"/>
        </w:rPr>
        <w:t xml:space="preserve"> </w:t>
      </w:r>
    </w:p>
    <w:sectPr w:rsidR="008213C0" w:rsidRPr="00F61FA9" w:rsidSect="00D855AB">
      <w:footerReference w:type="default" r:id="rId6"/>
      <w:pgSz w:w="11906" w:h="16838"/>
      <w:pgMar w:top="1417" w:right="1134" w:bottom="1134" w:left="1701" w:header="709" w:footer="709" w:gutter="0"/>
      <w:pgNumType w:start="102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22FF" w:rsidRDefault="008122FF" w:rsidP="008122FF">
      <w:pPr>
        <w:spacing w:after="0" w:line="240" w:lineRule="auto"/>
      </w:pPr>
      <w:r>
        <w:separator/>
      </w:r>
    </w:p>
  </w:endnote>
  <w:endnote w:type="continuationSeparator" w:id="0">
    <w:p w:rsidR="008122FF" w:rsidRDefault="008122FF" w:rsidP="008122F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122FF" w:rsidRPr="00D855AB" w:rsidRDefault="008122F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22FF" w:rsidRDefault="008122FF" w:rsidP="008122FF">
      <w:pPr>
        <w:spacing w:after="0" w:line="240" w:lineRule="auto"/>
      </w:pPr>
      <w:r>
        <w:separator/>
      </w:r>
    </w:p>
  </w:footnote>
  <w:footnote w:type="continuationSeparator" w:id="0">
    <w:p w:rsidR="008122FF" w:rsidRDefault="008122FF" w:rsidP="008122FF">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645AB2"/>
    <w:rsid w:val="00011C51"/>
    <w:rsid w:val="00020AF2"/>
    <w:rsid w:val="000B5B63"/>
    <w:rsid w:val="001F1D33"/>
    <w:rsid w:val="00217969"/>
    <w:rsid w:val="002227CD"/>
    <w:rsid w:val="00223CCB"/>
    <w:rsid w:val="002303B4"/>
    <w:rsid w:val="00246BA1"/>
    <w:rsid w:val="002512C2"/>
    <w:rsid w:val="00253262"/>
    <w:rsid w:val="002B3056"/>
    <w:rsid w:val="002C54D5"/>
    <w:rsid w:val="002C64D0"/>
    <w:rsid w:val="002E3998"/>
    <w:rsid w:val="002F43D1"/>
    <w:rsid w:val="003203FA"/>
    <w:rsid w:val="003255CB"/>
    <w:rsid w:val="00325DFB"/>
    <w:rsid w:val="00335277"/>
    <w:rsid w:val="003B0746"/>
    <w:rsid w:val="003E1B23"/>
    <w:rsid w:val="00456106"/>
    <w:rsid w:val="00564966"/>
    <w:rsid w:val="00583B5D"/>
    <w:rsid w:val="005A6531"/>
    <w:rsid w:val="005E5256"/>
    <w:rsid w:val="00645AB2"/>
    <w:rsid w:val="00672BE0"/>
    <w:rsid w:val="007D12E1"/>
    <w:rsid w:val="007D4F52"/>
    <w:rsid w:val="007E7792"/>
    <w:rsid w:val="008122FF"/>
    <w:rsid w:val="008213C0"/>
    <w:rsid w:val="00857E76"/>
    <w:rsid w:val="008D4453"/>
    <w:rsid w:val="009B720C"/>
    <w:rsid w:val="009C09A8"/>
    <w:rsid w:val="009E13B0"/>
    <w:rsid w:val="00A13A0E"/>
    <w:rsid w:val="00AB74F6"/>
    <w:rsid w:val="00AC4328"/>
    <w:rsid w:val="00AE4D30"/>
    <w:rsid w:val="00B04BD1"/>
    <w:rsid w:val="00B75030"/>
    <w:rsid w:val="00B75A30"/>
    <w:rsid w:val="00B973A9"/>
    <w:rsid w:val="00C54895"/>
    <w:rsid w:val="00C54B35"/>
    <w:rsid w:val="00C62F26"/>
    <w:rsid w:val="00CB2C01"/>
    <w:rsid w:val="00D26019"/>
    <w:rsid w:val="00D401DA"/>
    <w:rsid w:val="00D41B84"/>
    <w:rsid w:val="00D507CD"/>
    <w:rsid w:val="00D855AB"/>
    <w:rsid w:val="00DE1DEF"/>
    <w:rsid w:val="00E00248"/>
    <w:rsid w:val="00E14202"/>
    <w:rsid w:val="00E356A7"/>
    <w:rsid w:val="00E84178"/>
    <w:rsid w:val="00EC754B"/>
    <w:rsid w:val="00ED6844"/>
    <w:rsid w:val="00F41D92"/>
    <w:rsid w:val="00F61FA9"/>
    <w:rsid w:val="00FD6F1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8122F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122FF"/>
  </w:style>
  <w:style w:type="paragraph" w:styleId="Piedepgina">
    <w:name w:val="footer"/>
    <w:basedOn w:val="Normal"/>
    <w:link w:val="PiedepginaCar"/>
    <w:uiPriority w:val="99"/>
    <w:semiHidden/>
    <w:unhideWhenUsed/>
    <w:rsid w:val="008122F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122F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34</TotalTime>
  <Pages>1</Pages>
  <Words>340</Words>
  <Characters>1874</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29</cp:revision>
  <cp:lastPrinted>2017-10-04T15:16:00Z</cp:lastPrinted>
  <dcterms:created xsi:type="dcterms:W3CDTF">2017-01-30T13:41:00Z</dcterms:created>
  <dcterms:modified xsi:type="dcterms:W3CDTF">2017-10-04T15:16:00Z</dcterms:modified>
</cp:coreProperties>
</file>