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EB6" w:rsidRPr="00260EB6" w:rsidRDefault="00260EB6" w:rsidP="00260EB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60EB6">
        <w:rPr>
          <w:rFonts w:ascii="Book Antiqua" w:hAnsi="Book Antiqua"/>
          <w:sz w:val="24"/>
        </w:rPr>
        <w:t>Yerba Buena, 25 de Noviembre de 1999</w:t>
      </w:r>
    </w:p>
    <w:p w:rsidR="00260EB6" w:rsidRPr="00D90074" w:rsidRDefault="00260EB6" w:rsidP="00260EB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90074">
        <w:rPr>
          <w:rFonts w:ascii="Book Antiqua" w:hAnsi="Book Antiqua"/>
          <w:b/>
          <w:sz w:val="24"/>
        </w:rPr>
        <w:t>ORDENANZA Nº 1125</w:t>
      </w:r>
    </w:p>
    <w:p w:rsidR="00260EB6" w:rsidRPr="00D90074" w:rsidRDefault="00260EB6" w:rsidP="00260EB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90074">
        <w:rPr>
          <w:rFonts w:ascii="Book Antiqua" w:hAnsi="Book Antiqua"/>
          <w:b/>
          <w:sz w:val="24"/>
        </w:rPr>
        <w:t>VISTO</w:t>
      </w:r>
      <w:r w:rsidR="007025A0" w:rsidRPr="00D90074">
        <w:rPr>
          <w:rFonts w:ascii="Book Antiqua" w:hAnsi="Book Antiqua"/>
          <w:b/>
          <w:sz w:val="24"/>
        </w:rPr>
        <w:t xml:space="preserve">: </w:t>
      </w:r>
    </w:p>
    <w:p w:rsidR="00E34AE4" w:rsidRPr="00D90074" w:rsidRDefault="00D548A2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D90074">
        <w:rPr>
          <w:rFonts w:ascii="Book Antiqua" w:hAnsi="Book Antiqua"/>
          <w:sz w:val="24"/>
        </w:rPr>
        <w:t>La ordenanza N</w:t>
      </w:r>
      <w:r w:rsidR="00260EB6" w:rsidRPr="00D90074">
        <w:rPr>
          <w:rFonts w:ascii="Book Antiqua" w:hAnsi="Book Antiqua"/>
          <w:sz w:val="24"/>
        </w:rPr>
        <w:t xml:space="preserve">º </w:t>
      </w:r>
      <w:r w:rsidRPr="00D90074">
        <w:rPr>
          <w:rFonts w:ascii="Book Antiqua" w:hAnsi="Book Antiqua"/>
          <w:sz w:val="24"/>
        </w:rPr>
        <w:t>1024 de fecha 17 de Noviembre de 1999</w:t>
      </w:r>
      <w:r w:rsidR="00260EB6" w:rsidRPr="00D90074">
        <w:rPr>
          <w:rFonts w:ascii="Book Antiqua" w:hAnsi="Book Antiqua"/>
          <w:sz w:val="24"/>
        </w:rPr>
        <w:t xml:space="preserve">; </w:t>
      </w:r>
      <w:r w:rsidRPr="00D90074">
        <w:rPr>
          <w:rFonts w:ascii="Book Antiqua" w:hAnsi="Book Antiqua"/>
          <w:sz w:val="24"/>
        </w:rPr>
        <w:t>y</w:t>
      </w:r>
    </w:p>
    <w:p w:rsidR="00260EB6" w:rsidRPr="00D90074" w:rsidRDefault="00260EB6" w:rsidP="00260EB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90074">
        <w:rPr>
          <w:rFonts w:ascii="Book Antiqua" w:hAnsi="Book Antiqua"/>
          <w:b/>
          <w:sz w:val="24"/>
        </w:rPr>
        <w:t>CONSIDERANDO</w:t>
      </w:r>
      <w:r w:rsidR="007025A0" w:rsidRPr="00D90074">
        <w:rPr>
          <w:rFonts w:ascii="Book Antiqua" w:hAnsi="Book Antiqua"/>
          <w:b/>
          <w:sz w:val="24"/>
        </w:rPr>
        <w:t xml:space="preserve">: </w:t>
      </w:r>
    </w:p>
    <w:p w:rsidR="002D4006" w:rsidRPr="00D90074" w:rsidRDefault="007025A0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D90074">
        <w:rPr>
          <w:rFonts w:ascii="Book Antiqua" w:hAnsi="Book Antiqua"/>
          <w:sz w:val="24"/>
        </w:rPr>
        <w:t>Que la misma, en su Artículo Primero modifica la Ordenanza Nº 613/94 (Código de Planeamiento Urbano) en el Punto 2.2. 1 De Ocupación, Inc. 2.2. 1.1 Urbanizaciones Especiales, Punto “D”;</w:t>
      </w:r>
    </w:p>
    <w:p w:rsidR="002D4006" w:rsidRPr="00D90074" w:rsidRDefault="007025A0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D90074">
        <w:rPr>
          <w:rFonts w:ascii="Book Antiqua" w:hAnsi="Book Antiqua"/>
          <w:sz w:val="24"/>
        </w:rPr>
        <w:t>Que asimismo, en su artículo Segundo agrega a la Ordenanza Nº 613/94 el Punto 2.2. 3.3, el que dispone: “Todas las documentaciones técnicas correspondientes a construcciones, ampliaciones y/o modificaciones destinadas al emprendimiento de servicio al automotor, incluidas las Estaciones de Servicio donde se expenda combustible, deberán contar con la aprobación final del Honorable Concejo Deliberante”;</w:t>
      </w:r>
    </w:p>
    <w:p w:rsidR="002D4006" w:rsidRPr="00D90074" w:rsidRDefault="007025A0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D90074">
        <w:rPr>
          <w:rFonts w:ascii="Book Antiqua" w:hAnsi="Book Antiqua"/>
          <w:sz w:val="24"/>
        </w:rPr>
        <w:t>Que la Dirección de Asuntos Jurídicos a fs. 22 y 22vta. en base a lo informado por las áreas competentes desde fs. 3 a 7 y a fs. 22,00mts obrantes en el Expte. Nº 5.955-M17-H99, aconseja derogar la citada norma, ya que la Ordenanza Nº 613/94 prevé todos los supuestos necesarios para que el Departamento Ejecutivo Municipal, a través de sus organismos técnicos, sea el responsable de la aprobación de las documentaciones en tanto cumplan con los requisitos de la misma;</w:t>
      </w:r>
    </w:p>
    <w:p w:rsidR="002D4006" w:rsidRPr="00D90074" w:rsidRDefault="00D548A2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D90074">
        <w:rPr>
          <w:rFonts w:ascii="Book Antiqua" w:hAnsi="Book Antiqua"/>
          <w:sz w:val="24"/>
        </w:rPr>
        <w:t>Que</w:t>
      </w:r>
      <w:r w:rsidR="00260EB6" w:rsidRPr="00D90074">
        <w:rPr>
          <w:rFonts w:ascii="Book Antiqua" w:hAnsi="Book Antiqua"/>
          <w:sz w:val="24"/>
        </w:rPr>
        <w:t xml:space="preserve">, </w:t>
      </w:r>
      <w:r w:rsidRPr="00D90074">
        <w:rPr>
          <w:rFonts w:ascii="Book Antiqua" w:hAnsi="Book Antiqua"/>
          <w:sz w:val="24"/>
        </w:rPr>
        <w:t>teniendo en cuenta los antecedentes obrantes</w:t>
      </w:r>
      <w:r w:rsidR="00260EB6" w:rsidRPr="00D90074">
        <w:rPr>
          <w:rFonts w:ascii="Book Antiqua" w:hAnsi="Book Antiqua"/>
          <w:sz w:val="24"/>
        </w:rPr>
        <w:t xml:space="preserve">, </w:t>
      </w:r>
      <w:r w:rsidRPr="00D90074">
        <w:rPr>
          <w:rFonts w:ascii="Book Antiqua" w:hAnsi="Book Antiqua"/>
          <w:sz w:val="24"/>
        </w:rPr>
        <w:t>se debe emitir el Instrumento legal derogando la ordenanza N</w:t>
      </w:r>
      <w:r w:rsidR="00260EB6" w:rsidRPr="00D90074">
        <w:rPr>
          <w:rFonts w:ascii="Book Antiqua" w:hAnsi="Book Antiqua"/>
          <w:sz w:val="24"/>
        </w:rPr>
        <w:t xml:space="preserve">º </w:t>
      </w:r>
      <w:r w:rsidRPr="00D90074">
        <w:rPr>
          <w:rFonts w:ascii="Book Antiqua" w:hAnsi="Book Antiqua"/>
          <w:sz w:val="24"/>
        </w:rPr>
        <w:t>1024/99</w:t>
      </w:r>
      <w:r w:rsidR="00260EB6" w:rsidRPr="00D90074">
        <w:rPr>
          <w:rFonts w:ascii="Book Antiqua" w:hAnsi="Book Antiqua"/>
          <w:sz w:val="24"/>
        </w:rPr>
        <w:t>;</w:t>
      </w:r>
    </w:p>
    <w:p w:rsidR="002D4006" w:rsidRPr="00D90074" w:rsidRDefault="00D548A2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D90074">
        <w:rPr>
          <w:rFonts w:ascii="Book Antiqua" w:hAnsi="Book Antiqua"/>
          <w:sz w:val="24"/>
        </w:rPr>
        <w:t>Por ello y en virtud de las facultades que le confiere el Decreto N</w:t>
      </w:r>
      <w:r w:rsidR="00260EB6" w:rsidRPr="00D90074">
        <w:rPr>
          <w:rFonts w:ascii="Book Antiqua" w:hAnsi="Book Antiqua"/>
          <w:sz w:val="24"/>
        </w:rPr>
        <w:t xml:space="preserve">º </w:t>
      </w:r>
      <w:r w:rsidRPr="00D90074">
        <w:rPr>
          <w:rFonts w:ascii="Book Antiqua" w:hAnsi="Book Antiqua"/>
          <w:sz w:val="24"/>
        </w:rPr>
        <w:t>822/1 de fecha 19 de Mayo de 2000</w:t>
      </w:r>
      <w:r w:rsidR="00260EB6" w:rsidRPr="00D90074">
        <w:rPr>
          <w:rFonts w:ascii="Book Antiqua" w:hAnsi="Book Antiqua"/>
          <w:sz w:val="24"/>
        </w:rPr>
        <w:t xml:space="preserve">, </w:t>
      </w:r>
      <w:r w:rsidRPr="00D90074">
        <w:rPr>
          <w:rFonts w:ascii="Book Antiqua" w:hAnsi="Book Antiqua"/>
          <w:sz w:val="24"/>
        </w:rPr>
        <w:t>emitido por el Poder Ejecutivo Provincial</w:t>
      </w:r>
      <w:r w:rsidR="00260EB6" w:rsidRPr="00D90074">
        <w:rPr>
          <w:rFonts w:ascii="Book Antiqua" w:hAnsi="Book Antiqua"/>
          <w:sz w:val="24"/>
        </w:rPr>
        <w:t>;</w:t>
      </w:r>
    </w:p>
    <w:p w:rsidR="000D6F58" w:rsidRPr="00D90074" w:rsidRDefault="002D4006" w:rsidP="002D400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D90074">
        <w:rPr>
          <w:rFonts w:ascii="Book Antiqua" w:hAnsi="Book Antiqua"/>
          <w:b/>
          <w:sz w:val="24"/>
        </w:rPr>
        <w:t>EL INTERVENTOR MUNICIPAL SANCIONA CON FUERZA DE ORDENANZA</w:t>
      </w:r>
    </w:p>
    <w:p w:rsidR="002D4006" w:rsidRPr="00D90074" w:rsidRDefault="003612E5" w:rsidP="003612E5">
      <w:pPr>
        <w:keepNext/>
        <w:spacing w:after="180" w:line="240" w:lineRule="auto"/>
        <w:rPr>
          <w:rFonts w:ascii="Book Antiqua" w:hAnsi="Book Antiqua"/>
          <w:sz w:val="24"/>
        </w:rPr>
      </w:pPr>
      <w:r w:rsidRPr="003612E5">
        <w:rPr>
          <w:rFonts w:ascii="Book Antiqua" w:hAnsi="Book Antiqua"/>
          <w:sz w:val="24"/>
          <w:u w:val="single"/>
        </w:rPr>
        <w:t>ARTÍCULO PRIMERO</w:t>
      </w:r>
      <w:r w:rsidR="007025A0" w:rsidRPr="007025A0">
        <w:rPr>
          <w:rFonts w:ascii="Book Antiqua" w:hAnsi="Book Antiqua"/>
          <w:sz w:val="24"/>
        </w:rPr>
        <w:t>:</w:t>
      </w:r>
      <w:r w:rsidR="007025A0" w:rsidRPr="00D90074">
        <w:rPr>
          <w:rFonts w:ascii="Book Antiqua" w:hAnsi="Book Antiqua"/>
          <w:sz w:val="24"/>
        </w:rPr>
        <w:t xml:space="preserve"> </w:t>
      </w:r>
      <w:r w:rsidR="00D548A2" w:rsidRPr="00D90074">
        <w:rPr>
          <w:rFonts w:ascii="Book Antiqua" w:hAnsi="Book Antiqua"/>
          <w:sz w:val="24"/>
        </w:rPr>
        <w:t>DEROGASE la Ordenanza N</w:t>
      </w:r>
      <w:r w:rsidR="00260EB6" w:rsidRPr="00D90074">
        <w:rPr>
          <w:rFonts w:ascii="Book Antiqua" w:hAnsi="Book Antiqua"/>
          <w:sz w:val="24"/>
        </w:rPr>
        <w:t xml:space="preserve">º </w:t>
      </w:r>
      <w:r w:rsidR="00D548A2" w:rsidRPr="00D90074">
        <w:rPr>
          <w:rFonts w:ascii="Book Antiqua" w:hAnsi="Book Antiqua"/>
          <w:sz w:val="24"/>
        </w:rPr>
        <w:t>1024 de fecha 17 de Noviembre de 1999</w:t>
      </w:r>
      <w:r w:rsidR="00260EB6" w:rsidRPr="00D90074">
        <w:rPr>
          <w:rFonts w:ascii="Book Antiqua" w:hAnsi="Book Antiqua"/>
          <w:sz w:val="24"/>
        </w:rPr>
        <w:t>.</w:t>
      </w:r>
    </w:p>
    <w:p w:rsidR="006F2884" w:rsidRPr="00260EB6" w:rsidRDefault="003612E5" w:rsidP="00260EB6">
      <w:pPr>
        <w:keepNext/>
        <w:spacing w:after="180" w:line="240" w:lineRule="auto"/>
        <w:rPr>
          <w:rFonts w:ascii="Book Antiqua" w:hAnsi="Book Antiqua"/>
          <w:sz w:val="24"/>
        </w:rPr>
      </w:pPr>
      <w:r w:rsidRPr="003612E5">
        <w:rPr>
          <w:rFonts w:ascii="Book Antiqua" w:hAnsi="Book Antiqua"/>
          <w:sz w:val="24"/>
          <w:u w:val="single"/>
        </w:rPr>
        <w:t>ARTÍCULO SEGUNDO</w:t>
      </w:r>
      <w:r w:rsidR="007025A0" w:rsidRPr="007025A0">
        <w:rPr>
          <w:rFonts w:ascii="Book Antiqua" w:hAnsi="Book Antiqua"/>
          <w:sz w:val="24"/>
        </w:rPr>
        <w:t>:</w:t>
      </w:r>
      <w:r w:rsidR="007025A0" w:rsidRPr="00D90074">
        <w:rPr>
          <w:rFonts w:ascii="Book Antiqua" w:hAnsi="Book Antiqua"/>
          <w:sz w:val="24"/>
        </w:rPr>
        <w:t xml:space="preserve"> </w:t>
      </w:r>
      <w:r w:rsidR="00D548A2" w:rsidRPr="00D90074">
        <w:rPr>
          <w:rFonts w:ascii="Book Antiqua" w:hAnsi="Book Antiqua"/>
          <w:sz w:val="24"/>
        </w:rPr>
        <w:t>PUBLIQUESE</w:t>
      </w:r>
      <w:r w:rsidR="00260EB6" w:rsidRPr="00D90074">
        <w:rPr>
          <w:rFonts w:ascii="Book Antiqua" w:hAnsi="Book Antiqua"/>
          <w:sz w:val="24"/>
        </w:rPr>
        <w:t xml:space="preserve">, </w:t>
      </w:r>
      <w:r w:rsidR="003E657F" w:rsidRPr="00D90074">
        <w:rPr>
          <w:rFonts w:ascii="Book Antiqua" w:hAnsi="Book Antiqua"/>
          <w:sz w:val="24"/>
        </w:rPr>
        <w:t>CÓPIESE y ARCHÍVESE</w:t>
      </w:r>
      <w:r w:rsidR="00260EB6" w:rsidRPr="00D90074">
        <w:rPr>
          <w:rFonts w:ascii="Book Antiqua" w:hAnsi="Book Antiqua"/>
          <w:sz w:val="24"/>
        </w:rPr>
        <w:t>.</w:t>
      </w:r>
      <w:r w:rsidR="00D90074" w:rsidRPr="00260EB6">
        <w:rPr>
          <w:rFonts w:ascii="Book Antiqua" w:hAnsi="Book Antiqua"/>
          <w:sz w:val="24"/>
        </w:rPr>
        <w:t xml:space="preserve"> </w:t>
      </w:r>
    </w:p>
    <w:sectPr w:rsidR="006F2884" w:rsidRPr="00260EB6" w:rsidSect="00A92AF0">
      <w:footerReference w:type="default" r:id="rId7"/>
      <w:pgSz w:w="11906" w:h="16838"/>
      <w:pgMar w:top="1417" w:right="1134" w:bottom="1134" w:left="1701" w:header="709" w:footer="709" w:gutter="0"/>
      <w:pgNumType w:start="10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4A0" w:rsidRDefault="006564A0" w:rsidP="006564A0">
      <w:pPr>
        <w:spacing w:after="0" w:line="240" w:lineRule="auto"/>
      </w:pPr>
      <w:r>
        <w:separator/>
      </w:r>
    </w:p>
  </w:endnote>
  <w:endnote w:type="continuationSeparator" w:id="0">
    <w:p w:rsidR="006564A0" w:rsidRDefault="006564A0" w:rsidP="00656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64A0" w:rsidRPr="00A92AF0" w:rsidRDefault="006564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4A0" w:rsidRDefault="006564A0" w:rsidP="006564A0">
      <w:pPr>
        <w:spacing w:after="0" w:line="240" w:lineRule="auto"/>
      </w:pPr>
      <w:r>
        <w:separator/>
      </w:r>
    </w:p>
  </w:footnote>
  <w:footnote w:type="continuationSeparator" w:id="0">
    <w:p w:rsidR="006564A0" w:rsidRDefault="006564A0" w:rsidP="00656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48A2"/>
    <w:rsid w:val="000776C1"/>
    <w:rsid w:val="000C4EAD"/>
    <w:rsid w:val="000D08F8"/>
    <w:rsid w:val="000D6F58"/>
    <w:rsid w:val="00131391"/>
    <w:rsid w:val="001537C6"/>
    <w:rsid w:val="001B2DCF"/>
    <w:rsid w:val="001D4647"/>
    <w:rsid w:val="00221B35"/>
    <w:rsid w:val="00222916"/>
    <w:rsid w:val="002423B8"/>
    <w:rsid w:val="00260EB6"/>
    <w:rsid w:val="002951E3"/>
    <w:rsid w:val="002D4006"/>
    <w:rsid w:val="002D575E"/>
    <w:rsid w:val="0034676E"/>
    <w:rsid w:val="003612E5"/>
    <w:rsid w:val="003D3844"/>
    <w:rsid w:val="003D5EC9"/>
    <w:rsid w:val="003E5647"/>
    <w:rsid w:val="003E657F"/>
    <w:rsid w:val="003E76CE"/>
    <w:rsid w:val="00433777"/>
    <w:rsid w:val="00453E3C"/>
    <w:rsid w:val="00473D8A"/>
    <w:rsid w:val="004F6C90"/>
    <w:rsid w:val="00511B78"/>
    <w:rsid w:val="00541922"/>
    <w:rsid w:val="005952EA"/>
    <w:rsid w:val="005A3BAA"/>
    <w:rsid w:val="005F0151"/>
    <w:rsid w:val="005F43A9"/>
    <w:rsid w:val="006564A0"/>
    <w:rsid w:val="006664F0"/>
    <w:rsid w:val="00693DB0"/>
    <w:rsid w:val="006A2DC0"/>
    <w:rsid w:val="006E0381"/>
    <w:rsid w:val="006F2884"/>
    <w:rsid w:val="007025A0"/>
    <w:rsid w:val="007B73E1"/>
    <w:rsid w:val="007E1439"/>
    <w:rsid w:val="007E6ABD"/>
    <w:rsid w:val="007F1AB9"/>
    <w:rsid w:val="008B7548"/>
    <w:rsid w:val="008F799A"/>
    <w:rsid w:val="00977795"/>
    <w:rsid w:val="00985851"/>
    <w:rsid w:val="00A567F5"/>
    <w:rsid w:val="00A63C84"/>
    <w:rsid w:val="00A703B2"/>
    <w:rsid w:val="00A92AF0"/>
    <w:rsid w:val="00AF40F0"/>
    <w:rsid w:val="00B65E9A"/>
    <w:rsid w:val="00B923D8"/>
    <w:rsid w:val="00BB2ED4"/>
    <w:rsid w:val="00BF6D08"/>
    <w:rsid w:val="00C049C7"/>
    <w:rsid w:val="00CE1123"/>
    <w:rsid w:val="00CE708B"/>
    <w:rsid w:val="00D0707E"/>
    <w:rsid w:val="00D548A2"/>
    <w:rsid w:val="00D90074"/>
    <w:rsid w:val="00DF163F"/>
    <w:rsid w:val="00DF7622"/>
    <w:rsid w:val="00E05335"/>
    <w:rsid w:val="00E34AE4"/>
    <w:rsid w:val="00E37CFA"/>
    <w:rsid w:val="00E47BB3"/>
    <w:rsid w:val="00E8284B"/>
    <w:rsid w:val="00E85EE8"/>
    <w:rsid w:val="00F57387"/>
    <w:rsid w:val="00FB581D"/>
    <w:rsid w:val="00FC4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56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564A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56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564A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2017-10-04T15:16:00Z</cp:lastPrinted>
  <dcterms:created xsi:type="dcterms:W3CDTF">2017-02-16T19:25:00Z</dcterms:created>
  <dcterms:modified xsi:type="dcterms:W3CDTF">2017-10-04T15:16:00Z</dcterms:modified>
</cp:coreProperties>
</file>