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F6DC1" w:rsidRPr="00BF6DC1" w:rsidRDefault="00BF6DC1" w:rsidP="00BF6DC1">
      <w:pPr>
        <w:keepNext/>
        <w:shd w:val="clear" w:color="auto" w:fill="FFFFFF"/>
        <w:spacing w:after="180" w:line="240" w:lineRule="auto"/>
        <w:jc w:val="right"/>
        <w:rPr>
          <w:rFonts w:ascii="Book Antiqua" w:eastAsia="Times New Roman" w:hAnsi="Book Antiqua" w:cs="Times New Roman"/>
          <w:sz w:val="24"/>
          <w:szCs w:val="24"/>
          <w:lang w:eastAsia="es-AR"/>
        </w:rPr>
      </w:pPr>
      <w:r w:rsidRPr="00BF6DC1">
        <w:rPr>
          <w:rFonts w:ascii="Book Antiqua" w:eastAsia="Times New Roman" w:hAnsi="Book Antiqua" w:cs="Times New Roman"/>
          <w:sz w:val="24"/>
          <w:szCs w:val="24"/>
          <w:lang w:eastAsia="es-AR"/>
        </w:rPr>
        <w:t>Yerba Buena, 05 de Septiembre de 2001</w:t>
      </w:r>
    </w:p>
    <w:p w:rsidR="00BF6DC1" w:rsidRPr="00E83F40" w:rsidRDefault="00BF6DC1" w:rsidP="00BF6DC1">
      <w:pPr>
        <w:keepNext/>
        <w:shd w:val="clear" w:color="auto" w:fill="FFFFFF"/>
        <w:spacing w:before="60" w:after="180" w:line="240" w:lineRule="auto"/>
        <w:rPr>
          <w:rFonts w:ascii="Book Antiqua" w:eastAsia="Times New Roman" w:hAnsi="Book Antiqua" w:cs="Times New Roman"/>
          <w:b/>
          <w:sz w:val="24"/>
          <w:szCs w:val="24"/>
          <w:lang w:eastAsia="es-AR"/>
        </w:rPr>
      </w:pPr>
      <w:r w:rsidRPr="00E83F40">
        <w:rPr>
          <w:rFonts w:ascii="Book Antiqua" w:eastAsia="Times New Roman" w:hAnsi="Book Antiqua" w:cs="Times New Roman"/>
          <w:b/>
          <w:sz w:val="24"/>
          <w:szCs w:val="24"/>
          <w:lang w:eastAsia="es-AR"/>
        </w:rPr>
        <w:t>ORDENANZA Nº 1181</w:t>
      </w:r>
    </w:p>
    <w:p w:rsidR="00BF6DC1" w:rsidRPr="00E83F40" w:rsidRDefault="00BF6DC1" w:rsidP="00BF6DC1">
      <w:pPr>
        <w:keepNext/>
        <w:shd w:val="clear" w:color="auto" w:fill="FFFFFF"/>
        <w:spacing w:before="60" w:after="60" w:line="240" w:lineRule="auto"/>
        <w:rPr>
          <w:rFonts w:ascii="Book Antiqua" w:eastAsia="Times New Roman" w:hAnsi="Book Antiqua" w:cs="Times New Roman"/>
          <w:b/>
          <w:sz w:val="24"/>
          <w:szCs w:val="24"/>
          <w:lang w:eastAsia="es-AR"/>
        </w:rPr>
      </w:pPr>
      <w:r w:rsidRPr="00E83F40">
        <w:rPr>
          <w:rFonts w:ascii="Book Antiqua" w:eastAsia="Times New Roman" w:hAnsi="Book Antiqua" w:cs="Times New Roman"/>
          <w:b/>
          <w:sz w:val="24"/>
          <w:szCs w:val="24"/>
          <w:lang w:eastAsia="es-AR"/>
        </w:rPr>
        <w:t>VISTO</w:t>
      </w:r>
      <w:r w:rsidR="00F203D4" w:rsidRPr="00E83F40">
        <w:rPr>
          <w:rFonts w:ascii="Book Antiqua" w:eastAsia="Times New Roman" w:hAnsi="Book Antiqua" w:cs="Times New Roman"/>
          <w:b/>
          <w:sz w:val="24"/>
          <w:szCs w:val="24"/>
          <w:lang w:eastAsia="es-AR"/>
        </w:rPr>
        <w:t xml:space="preserve">: </w:t>
      </w:r>
    </w:p>
    <w:p w:rsidR="00BC327E" w:rsidRPr="00E83F40" w:rsidRDefault="00C632B9" w:rsidP="00BF6DC1">
      <w:pPr>
        <w:keepNext/>
        <w:shd w:val="clear" w:color="auto" w:fill="FFFFFF"/>
        <w:spacing w:after="180" w:line="240" w:lineRule="auto"/>
        <w:jc w:val="both"/>
        <w:rPr>
          <w:rFonts w:ascii="Book Antiqua" w:eastAsia="Times New Roman" w:hAnsi="Book Antiqua" w:cs="Times New Roman"/>
          <w:sz w:val="24"/>
          <w:szCs w:val="24"/>
          <w:lang w:eastAsia="es-AR"/>
        </w:rPr>
      </w:pPr>
      <w:r w:rsidRPr="00E83F40">
        <w:rPr>
          <w:rFonts w:ascii="Book Antiqua" w:eastAsia="Times New Roman" w:hAnsi="Book Antiqua" w:cs="Times New Roman"/>
          <w:sz w:val="24"/>
          <w:szCs w:val="24"/>
          <w:lang w:eastAsia="es-AR"/>
        </w:rPr>
        <w:t>El convenio suscripto entre esta Municipalidad y la CAJA POPULAR DE AHORROS DE LA PROVINCIA DE TUCUMAN</w:t>
      </w:r>
      <w:r w:rsidR="00BF6DC1" w:rsidRPr="00E83F40">
        <w:rPr>
          <w:rFonts w:ascii="Book Antiqua" w:eastAsia="Times New Roman" w:hAnsi="Book Antiqua" w:cs="Times New Roman"/>
          <w:sz w:val="24"/>
          <w:szCs w:val="24"/>
          <w:lang w:eastAsia="es-AR"/>
        </w:rPr>
        <w:t xml:space="preserve">, </w:t>
      </w:r>
      <w:r w:rsidRPr="00E83F40">
        <w:rPr>
          <w:rFonts w:ascii="Book Antiqua" w:eastAsia="Times New Roman" w:hAnsi="Book Antiqua" w:cs="Times New Roman"/>
          <w:sz w:val="24"/>
          <w:szCs w:val="24"/>
          <w:lang w:eastAsia="es-AR"/>
        </w:rPr>
        <w:t>representada por su Gerente Comercial</w:t>
      </w:r>
      <w:r w:rsidR="00BF6DC1" w:rsidRPr="00E83F40">
        <w:rPr>
          <w:rFonts w:ascii="Book Antiqua" w:eastAsia="Times New Roman" w:hAnsi="Book Antiqua" w:cs="Times New Roman"/>
          <w:sz w:val="24"/>
          <w:szCs w:val="24"/>
          <w:lang w:eastAsia="es-AR"/>
        </w:rPr>
        <w:t xml:space="preserve">, </w:t>
      </w:r>
      <w:r w:rsidRPr="00E83F40">
        <w:rPr>
          <w:rFonts w:ascii="Book Antiqua" w:eastAsia="Times New Roman" w:hAnsi="Book Antiqua" w:cs="Times New Roman"/>
          <w:sz w:val="24"/>
          <w:szCs w:val="24"/>
          <w:lang w:eastAsia="es-AR"/>
        </w:rPr>
        <w:t>Sr</w:t>
      </w:r>
      <w:r w:rsidR="00BF6DC1" w:rsidRPr="00E83F40">
        <w:rPr>
          <w:rFonts w:ascii="Book Antiqua" w:eastAsia="Times New Roman" w:hAnsi="Book Antiqua" w:cs="Times New Roman"/>
          <w:sz w:val="24"/>
          <w:szCs w:val="24"/>
          <w:lang w:eastAsia="es-AR"/>
        </w:rPr>
        <w:t xml:space="preserve">. </w:t>
      </w:r>
      <w:r w:rsidRPr="00E83F40">
        <w:rPr>
          <w:rFonts w:ascii="Book Antiqua" w:eastAsia="Times New Roman" w:hAnsi="Book Antiqua" w:cs="Times New Roman"/>
          <w:sz w:val="24"/>
          <w:szCs w:val="24"/>
          <w:lang w:eastAsia="es-AR"/>
        </w:rPr>
        <w:t>Néstor Alberto</w:t>
      </w:r>
      <w:r w:rsidR="00EE517D" w:rsidRPr="00E83F40">
        <w:rPr>
          <w:rFonts w:ascii="Book Antiqua" w:eastAsia="Times New Roman" w:hAnsi="Book Antiqua" w:cs="Times New Roman"/>
          <w:sz w:val="24"/>
          <w:szCs w:val="24"/>
          <w:lang w:eastAsia="es-AR"/>
        </w:rPr>
        <w:t xml:space="preserve"> </w:t>
      </w:r>
      <w:r w:rsidRPr="00E83F40">
        <w:rPr>
          <w:rFonts w:ascii="Book Antiqua" w:eastAsia="Times New Roman" w:hAnsi="Book Antiqua" w:cs="Times New Roman"/>
          <w:sz w:val="24"/>
          <w:szCs w:val="24"/>
          <w:lang w:eastAsia="es-AR"/>
        </w:rPr>
        <w:t>González</w:t>
      </w:r>
      <w:r w:rsidR="00BF6DC1" w:rsidRPr="00E83F40">
        <w:rPr>
          <w:rFonts w:ascii="Book Antiqua" w:eastAsia="Times New Roman" w:hAnsi="Book Antiqua" w:cs="Times New Roman"/>
          <w:sz w:val="24"/>
          <w:szCs w:val="24"/>
          <w:lang w:eastAsia="es-AR"/>
        </w:rPr>
        <w:t xml:space="preserve">; </w:t>
      </w:r>
      <w:r w:rsidRPr="00E83F40">
        <w:rPr>
          <w:rFonts w:ascii="Book Antiqua" w:eastAsia="Times New Roman" w:hAnsi="Book Antiqua" w:cs="Times New Roman"/>
          <w:sz w:val="24"/>
          <w:szCs w:val="24"/>
          <w:lang w:eastAsia="es-AR"/>
        </w:rPr>
        <w:t>y</w:t>
      </w:r>
    </w:p>
    <w:p w:rsidR="00BF6DC1" w:rsidRPr="00E83F40" w:rsidRDefault="00BF6DC1" w:rsidP="00BF6DC1">
      <w:pPr>
        <w:keepNext/>
        <w:shd w:val="clear" w:color="auto" w:fill="FFFFFF"/>
        <w:spacing w:before="60" w:after="60" w:line="240" w:lineRule="auto"/>
        <w:rPr>
          <w:rFonts w:ascii="Book Antiqua" w:eastAsia="Times New Roman" w:hAnsi="Book Antiqua" w:cs="Times New Roman"/>
          <w:b/>
          <w:sz w:val="24"/>
          <w:szCs w:val="24"/>
          <w:lang w:eastAsia="es-AR"/>
        </w:rPr>
      </w:pPr>
      <w:r w:rsidRPr="00E83F40">
        <w:rPr>
          <w:rFonts w:ascii="Book Antiqua" w:eastAsia="Times New Roman" w:hAnsi="Book Antiqua" w:cs="Times New Roman"/>
          <w:b/>
          <w:sz w:val="24"/>
          <w:szCs w:val="24"/>
          <w:lang w:eastAsia="es-AR"/>
        </w:rPr>
        <w:t>CONSIDERANDO</w:t>
      </w:r>
      <w:r w:rsidR="00F203D4" w:rsidRPr="00E83F40">
        <w:rPr>
          <w:rFonts w:ascii="Book Antiqua" w:eastAsia="Times New Roman" w:hAnsi="Book Antiqua" w:cs="Times New Roman"/>
          <w:b/>
          <w:sz w:val="24"/>
          <w:szCs w:val="24"/>
          <w:lang w:eastAsia="es-AR"/>
        </w:rPr>
        <w:t xml:space="preserve">: </w:t>
      </w:r>
    </w:p>
    <w:p w:rsidR="00F12E57" w:rsidRPr="00E83F40" w:rsidRDefault="00C632B9" w:rsidP="00BF6DC1">
      <w:pPr>
        <w:keepNext/>
        <w:shd w:val="clear" w:color="auto" w:fill="FFFFFF"/>
        <w:spacing w:after="180" w:line="240" w:lineRule="auto"/>
        <w:jc w:val="both"/>
        <w:rPr>
          <w:rFonts w:ascii="Book Antiqua" w:eastAsia="Times New Roman" w:hAnsi="Book Antiqua" w:cs="Times New Roman"/>
          <w:sz w:val="24"/>
          <w:szCs w:val="24"/>
          <w:lang w:eastAsia="es-AR"/>
        </w:rPr>
      </w:pPr>
      <w:r w:rsidRPr="00E83F40">
        <w:rPr>
          <w:rFonts w:ascii="Book Antiqua" w:eastAsia="Times New Roman" w:hAnsi="Book Antiqua" w:cs="Times New Roman"/>
          <w:sz w:val="24"/>
          <w:szCs w:val="24"/>
          <w:lang w:eastAsia="es-AR"/>
        </w:rPr>
        <w:t>Que</w:t>
      </w:r>
      <w:r w:rsidR="00EE517D" w:rsidRPr="00E83F40">
        <w:rPr>
          <w:rFonts w:ascii="Book Antiqua" w:eastAsia="Times New Roman" w:hAnsi="Book Antiqua" w:cs="Times New Roman"/>
          <w:sz w:val="24"/>
          <w:szCs w:val="24"/>
          <w:lang w:eastAsia="es-AR"/>
        </w:rPr>
        <w:t xml:space="preserve"> </w:t>
      </w:r>
      <w:r w:rsidRPr="00E83F40">
        <w:rPr>
          <w:rFonts w:ascii="Book Antiqua" w:eastAsia="Times New Roman" w:hAnsi="Book Antiqua" w:cs="Times New Roman"/>
          <w:sz w:val="24"/>
          <w:szCs w:val="24"/>
          <w:lang w:eastAsia="es-AR"/>
        </w:rPr>
        <w:t xml:space="preserve">a través de dicho convenio ambas partes acuerdan </w:t>
      </w:r>
      <w:r w:rsidR="00926EA1" w:rsidRPr="00E83F40">
        <w:rPr>
          <w:rFonts w:ascii="Book Antiqua" w:eastAsia="Times New Roman" w:hAnsi="Book Antiqua" w:cs="Times New Roman"/>
          <w:sz w:val="24"/>
          <w:szCs w:val="24"/>
          <w:lang w:eastAsia="es-AR"/>
        </w:rPr>
        <w:t>que la mencionada entidad financiera realizará el pago de los haberes al personal municipal con acreditación en cuentas de caja de ahorros</w:t>
      </w:r>
      <w:r w:rsidR="00BF6DC1" w:rsidRPr="00E83F40">
        <w:rPr>
          <w:rFonts w:ascii="Book Antiqua" w:eastAsia="Times New Roman" w:hAnsi="Book Antiqua" w:cs="Times New Roman"/>
          <w:sz w:val="24"/>
          <w:szCs w:val="24"/>
          <w:lang w:eastAsia="es-AR"/>
        </w:rPr>
        <w:t xml:space="preserve">, </w:t>
      </w:r>
      <w:r w:rsidR="00926EA1" w:rsidRPr="00E83F40">
        <w:rPr>
          <w:rFonts w:ascii="Book Antiqua" w:eastAsia="Times New Roman" w:hAnsi="Book Antiqua" w:cs="Times New Roman"/>
          <w:sz w:val="24"/>
          <w:szCs w:val="24"/>
          <w:lang w:eastAsia="es-AR"/>
        </w:rPr>
        <w:t>con sujeción a las pautas específicas en el mismo</w:t>
      </w:r>
      <w:r w:rsidR="00BF6DC1" w:rsidRPr="00E83F40">
        <w:rPr>
          <w:rFonts w:ascii="Book Antiqua" w:eastAsia="Times New Roman" w:hAnsi="Book Antiqua" w:cs="Times New Roman"/>
          <w:sz w:val="24"/>
          <w:szCs w:val="24"/>
          <w:lang w:eastAsia="es-AR"/>
        </w:rPr>
        <w:t>;</w:t>
      </w:r>
    </w:p>
    <w:p w:rsidR="00F12E57" w:rsidRPr="00E83F40" w:rsidRDefault="00926EA1" w:rsidP="00BF6DC1">
      <w:pPr>
        <w:keepNext/>
        <w:shd w:val="clear" w:color="auto" w:fill="FFFFFF"/>
        <w:spacing w:after="180" w:line="240" w:lineRule="auto"/>
        <w:jc w:val="both"/>
        <w:rPr>
          <w:rFonts w:ascii="Book Antiqua" w:eastAsia="Times New Roman" w:hAnsi="Book Antiqua" w:cs="Times New Roman"/>
          <w:sz w:val="24"/>
          <w:szCs w:val="24"/>
          <w:lang w:eastAsia="es-AR"/>
        </w:rPr>
      </w:pPr>
      <w:r w:rsidRPr="00E83F40">
        <w:rPr>
          <w:rFonts w:ascii="Book Antiqua" w:eastAsia="Times New Roman" w:hAnsi="Book Antiqua" w:cs="Times New Roman"/>
          <w:sz w:val="24"/>
          <w:szCs w:val="24"/>
          <w:lang w:eastAsia="es-AR"/>
        </w:rPr>
        <w:t>Que</w:t>
      </w:r>
      <w:r w:rsidR="00BF6DC1" w:rsidRPr="00E83F40">
        <w:rPr>
          <w:rFonts w:ascii="Book Antiqua" w:eastAsia="Times New Roman" w:hAnsi="Book Antiqua" w:cs="Times New Roman"/>
          <w:sz w:val="24"/>
          <w:szCs w:val="24"/>
          <w:lang w:eastAsia="es-AR"/>
        </w:rPr>
        <w:t xml:space="preserve">, </w:t>
      </w:r>
      <w:r w:rsidRPr="00E83F40">
        <w:rPr>
          <w:rFonts w:ascii="Book Antiqua" w:eastAsia="Times New Roman" w:hAnsi="Book Antiqua" w:cs="Times New Roman"/>
          <w:sz w:val="24"/>
          <w:szCs w:val="24"/>
          <w:lang w:eastAsia="es-AR"/>
        </w:rPr>
        <w:t>al no existir objeciones al respecto</w:t>
      </w:r>
      <w:r w:rsidR="00BF6DC1" w:rsidRPr="00E83F40">
        <w:rPr>
          <w:rFonts w:ascii="Book Antiqua" w:eastAsia="Times New Roman" w:hAnsi="Book Antiqua" w:cs="Times New Roman"/>
          <w:sz w:val="24"/>
          <w:szCs w:val="24"/>
          <w:lang w:eastAsia="es-AR"/>
        </w:rPr>
        <w:t xml:space="preserve">, </w:t>
      </w:r>
      <w:r w:rsidRPr="00E83F40">
        <w:rPr>
          <w:rFonts w:ascii="Book Antiqua" w:eastAsia="Times New Roman" w:hAnsi="Book Antiqua" w:cs="Times New Roman"/>
          <w:sz w:val="24"/>
          <w:szCs w:val="24"/>
          <w:lang w:eastAsia="es-AR"/>
        </w:rPr>
        <w:t>es procedente emitir el instrumento legal pertinente</w:t>
      </w:r>
      <w:r w:rsidR="00BF6DC1" w:rsidRPr="00E83F40">
        <w:rPr>
          <w:rFonts w:ascii="Book Antiqua" w:eastAsia="Times New Roman" w:hAnsi="Book Antiqua" w:cs="Times New Roman"/>
          <w:sz w:val="24"/>
          <w:szCs w:val="24"/>
          <w:lang w:eastAsia="es-AR"/>
        </w:rPr>
        <w:t xml:space="preserve">, </w:t>
      </w:r>
      <w:r w:rsidRPr="00E83F40">
        <w:rPr>
          <w:rFonts w:ascii="Book Antiqua" w:eastAsia="Times New Roman" w:hAnsi="Book Antiqua" w:cs="Times New Roman"/>
          <w:sz w:val="24"/>
          <w:szCs w:val="24"/>
          <w:lang w:eastAsia="es-AR"/>
        </w:rPr>
        <w:t>a efectos de su aprobación</w:t>
      </w:r>
      <w:r w:rsidR="00BF6DC1" w:rsidRPr="00E83F40">
        <w:rPr>
          <w:rFonts w:ascii="Book Antiqua" w:eastAsia="Times New Roman" w:hAnsi="Book Antiqua" w:cs="Times New Roman"/>
          <w:sz w:val="24"/>
          <w:szCs w:val="24"/>
          <w:lang w:eastAsia="es-AR"/>
        </w:rPr>
        <w:t>;</w:t>
      </w:r>
    </w:p>
    <w:p w:rsidR="00F12E57" w:rsidRPr="00E83F40" w:rsidRDefault="00926EA1" w:rsidP="00BF6DC1">
      <w:pPr>
        <w:keepNext/>
        <w:shd w:val="clear" w:color="auto" w:fill="FFFFFF"/>
        <w:spacing w:after="180" w:line="240" w:lineRule="auto"/>
        <w:jc w:val="both"/>
        <w:rPr>
          <w:rFonts w:ascii="Book Antiqua" w:eastAsia="Times New Roman" w:hAnsi="Book Antiqua" w:cs="Times New Roman"/>
          <w:sz w:val="24"/>
          <w:szCs w:val="24"/>
          <w:lang w:eastAsia="es-AR"/>
        </w:rPr>
      </w:pPr>
      <w:r w:rsidRPr="00E83F40">
        <w:rPr>
          <w:rFonts w:ascii="Book Antiqua" w:eastAsia="Times New Roman" w:hAnsi="Book Antiqua" w:cs="Times New Roman"/>
          <w:sz w:val="24"/>
          <w:szCs w:val="24"/>
          <w:lang w:eastAsia="es-AR"/>
        </w:rPr>
        <w:t>Por ello y en uso de las facultades que le confiere el Decreto Provincial N</w:t>
      </w:r>
      <w:r w:rsidR="00BF6DC1" w:rsidRPr="00E83F40">
        <w:rPr>
          <w:rFonts w:ascii="Book Antiqua" w:eastAsia="Times New Roman" w:hAnsi="Book Antiqua" w:cs="Times New Roman"/>
          <w:sz w:val="24"/>
          <w:szCs w:val="24"/>
          <w:lang w:eastAsia="es-AR"/>
        </w:rPr>
        <w:t xml:space="preserve">º </w:t>
      </w:r>
      <w:r w:rsidRPr="00E83F40">
        <w:rPr>
          <w:rFonts w:ascii="Book Antiqua" w:eastAsia="Times New Roman" w:hAnsi="Book Antiqua" w:cs="Times New Roman"/>
          <w:sz w:val="24"/>
          <w:szCs w:val="24"/>
          <w:lang w:eastAsia="es-AR"/>
        </w:rPr>
        <w:t>822/1 de fecha 19 de mayo de 2000</w:t>
      </w:r>
      <w:r w:rsidR="00BF6DC1" w:rsidRPr="00E83F40">
        <w:rPr>
          <w:rFonts w:ascii="Book Antiqua" w:eastAsia="Times New Roman" w:hAnsi="Book Antiqua" w:cs="Times New Roman"/>
          <w:sz w:val="24"/>
          <w:szCs w:val="24"/>
          <w:lang w:eastAsia="es-AR"/>
        </w:rPr>
        <w:t>,</w:t>
      </w:r>
    </w:p>
    <w:p w:rsidR="00EE517D" w:rsidRPr="00E83F40" w:rsidRDefault="00F12E57" w:rsidP="00F12E57">
      <w:pPr>
        <w:keepNext/>
        <w:shd w:val="clear" w:color="auto" w:fill="FFFFFF"/>
        <w:spacing w:before="240" w:after="240" w:line="240" w:lineRule="auto"/>
        <w:ind w:left="1843" w:right="1843"/>
        <w:jc w:val="center"/>
        <w:rPr>
          <w:rFonts w:ascii="Book Antiqua" w:eastAsia="Times New Roman" w:hAnsi="Book Antiqua" w:cs="Times New Roman"/>
          <w:b/>
          <w:sz w:val="24"/>
          <w:szCs w:val="24"/>
          <w:lang w:eastAsia="es-AR"/>
        </w:rPr>
      </w:pPr>
      <w:r w:rsidRPr="00E83F40">
        <w:rPr>
          <w:rFonts w:ascii="Book Antiqua" w:eastAsia="Times New Roman" w:hAnsi="Book Antiqua" w:cs="Times New Roman"/>
          <w:b/>
          <w:sz w:val="24"/>
          <w:szCs w:val="24"/>
          <w:lang w:eastAsia="es-AR"/>
        </w:rPr>
        <w:t>EL INTERVENTOR MUNICIPAL SANCIONA CON FUERZA DE ORDENANZA</w:t>
      </w:r>
    </w:p>
    <w:p w:rsidR="00F12E57" w:rsidRPr="00E83F40" w:rsidRDefault="006516D4" w:rsidP="006516D4">
      <w:pPr>
        <w:keepNext/>
        <w:spacing w:after="180" w:line="240" w:lineRule="auto"/>
        <w:jc w:val="both"/>
        <w:rPr>
          <w:rFonts w:ascii="Book Antiqua" w:eastAsia="Times New Roman" w:hAnsi="Book Antiqua" w:cs="Times New Roman"/>
          <w:sz w:val="24"/>
          <w:szCs w:val="24"/>
          <w:lang w:eastAsia="es-AR"/>
        </w:rPr>
      </w:pPr>
      <w:r w:rsidRPr="006516D4">
        <w:rPr>
          <w:rFonts w:ascii="Book Antiqua" w:eastAsia="Times New Roman" w:hAnsi="Book Antiqua" w:cs="Times New Roman"/>
          <w:sz w:val="24"/>
          <w:szCs w:val="24"/>
          <w:u w:val="single"/>
          <w:lang w:eastAsia="es-AR"/>
        </w:rPr>
        <w:t>ARTÍCULO PRIMERO</w:t>
      </w:r>
      <w:r w:rsidR="00F203D4" w:rsidRPr="00F203D4">
        <w:rPr>
          <w:rFonts w:ascii="Book Antiqua" w:eastAsia="Times New Roman" w:hAnsi="Book Antiqua" w:cs="Times New Roman"/>
          <w:sz w:val="24"/>
          <w:szCs w:val="24"/>
          <w:lang w:eastAsia="es-AR"/>
        </w:rPr>
        <w:t>:</w:t>
      </w:r>
      <w:r w:rsidR="00F203D4" w:rsidRPr="00E83F40">
        <w:rPr>
          <w:rFonts w:ascii="Book Antiqua" w:eastAsia="Times New Roman" w:hAnsi="Book Antiqua" w:cs="Times New Roman"/>
          <w:sz w:val="24"/>
          <w:szCs w:val="24"/>
          <w:lang w:eastAsia="es-AR"/>
        </w:rPr>
        <w:t xml:space="preserve"> APRUEBASE en todos sus términos el CONVENIO suscripto el 01/08/01 entre esta Municipalidad y la CAJA POPULAR DE AHORROS DE LA PROVINCIA DE TUCUMAN, representada por su Gerente Comercial, Néstor Alberto Gonzales, D.N.I. Nº 8.564.876, por el pago de haberes del personal Municipal, con acreditación en cuentas de Cajas de Ahorros, el que como Anexo Único, forma parte integrante de la presente Ordenanza.</w:t>
      </w:r>
    </w:p>
    <w:p w:rsidR="008213C0" w:rsidRPr="00BF6DC1" w:rsidRDefault="006516D4" w:rsidP="00BF6DC1">
      <w:pPr>
        <w:keepNext/>
        <w:spacing w:after="180" w:line="240" w:lineRule="auto"/>
        <w:jc w:val="both"/>
        <w:rPr>
          <w:rFonts w:ascii="Book Antiqua" w:hAnsi="Book Antiqua" w:cs="Times New Roman"/>
          <w:sz w:val="24"/>
        </w:rPr>
      </w:pPr>
      <w:r w:rsidRPr="006516D4">
        <w:rPr>
          <w:rFonts w:ascii="Book Antiqua" w:eastAsia="Times New Roman" w:hAnsi="Book Antiqua" w:cs="Times New Roman"/>
          <w:sz w:val="24"/>
          <w:szCs w:val="24"/>
          <w:u w:val="single"/>
          <w:lang w:eastAsia="es-AR"/>
        </w:rPr>
        <w:t>ARTÍCULO SEGUNDO</w:t>
      </w:r>
      <w:r w:rsidR="00F203D4" w:rsidRPr="00F203D4">
        <w:rPr>
          <w:rFonts w:ascii="Book Antiqua" w:eastAsia="Times New Roman" w:hAnsi="Book Antiqua" w:cs="Times New Roman"/>
          <w:sz w:val="24"/>
          <w:szCs w:val="24"/>
          <w:lang w:eastAsia="es-AR"/>
        </w:rPr>
        <w:t>:</w:t>
      </w:r>
      <w:r w:rsidR="00F203D4" w:rsidRPr="00E83F40">
        <w:rPr>
          <w:rFonts w:ascii="Book Antiqua" w:eastAsia="Times New Roman" w:hAnsi="Book Antiqua" w:cs="Times New Roman"/>
          <w:sz w:val="24"/>
          <w:szCs w:val="24"/>
          <w:lang w:eastAsia="es-AR"/>
        </w:rPr>
        <w:t xml:space="preserve"> </w:t>
      </w:r>
      <w:r w:rsidR="008213C0" w:rsidRPr="00E83F40">
        <w:rPr>
          <w:rFonts w:ascii="Book Antiqua" w:eastAsia="Times New Roman" w:hAnsi="Book Antiqua" w:cs="Times New Roman"/>
          <w:sz w:val="24"/>
          <w:szCs w:val="24"/>
          <w:lang w:eastAsia="es-AR"/>
        </w:rPr>
        <w:t>COMUNIQUESE</w:t>
      </w:r>
      <w:r w:rsidR="00BF6DC1" w:rsidRPr="00E83F40">
        <w:rPr>
          <w:rFonts w:ascii="Book Antiqua" w:eastAsia="Times New Roman" w:hAnsi="Book Antiqua" w:cs="Times New Roman"/>
          <w:sz w:val="24"/>
          <w:szCs w:val="24"/>
          <w:lang w:eastAsia="es-AR"/>
        </w:rPr>
        <w:t xml:space="preserve">, </w:t>
      </w:r>
      <w:r w:rsidR="00926EA1" w:rsidRPr="00E83F40">
        <w:rPr>
          <w:rFonts w:ascii="Book Antiqua" w:eastAsia="Times New Roman" w:hAnsi="Book Antiqua" w:cs="Times New Roman"/>
          <w:sz w:val="24"/>
          <w:szCs w:val="24"/>
          <w:lang w:eastAsia="es-AR"/>
        </w:rPr>
        <w:t>PUBLÍQUESE</w:t>
      </w:r>
      <w:r w:rsidR="00BF6DC1" w:rsidRPr="00E83F40">
        <w:rPr>
          <w:rFonts w:ascii="Book Antiqua" w:eastAsia="Times New Roman" w:hAnsi="Book Antiqua" w:cs="Times New Roman"/>
          <w:sz w:val="24"/>
          <w:szCs w:val="24"/>
          <w:lang w:eastAsia="es-AR"/>
        </w:rPr>
        <w:t xml:space="preserve">, </w:t>
      </w:r>
      <w:r w:rsidR="008213C0" w:rsidRPr="00E83F40">
        <w:rPr>
          <w:rFonts w:ascii="Book Antiqua" w:eastAsia="Times New Roman" w:hAnsi="Book Antiqua" w:cs="Times New Roman"/>
          <w:sz w:val="24"/>
          <w:szCs w:val="24"/>
          <w:lang w:eastAsia="es-AR"/>
        </w:rPr>
        <w:t>COPIESE Y ARCHIVESE</w:t>
      </w:r>
      <w:r w:rsidR="00BF6DC1" w:rsidRPr="00E83F40">
        <w:rPr>
          <w:rFonts w:ascii="Book Antiqua" w:eastAsia="Times New Roman" w:hAnsi="Book Antiqua" w:cs="Times New Roman"/>
          <w:sz w:val="24"/>
          <w:szCs w:val="24"/>
          <w:lang w:eastAsia="es-AR"/>
        </w:rPr>
        <w:t>.</w:t>
      </w:r>
      <w:r w:rsidR="00E83F40" w:rsidRPr="00BF6DC1">
        <w:rPr>
          <w:rFonts w:ascii="Book Antiqua" w:hAnsi="Book Antiqua" w:cs="Times New Roman"/>
          <w:sz w:val="24"/>
        </w:rPr>
        <w:t xml:space="preserve"> </w:t>
      </w:r>
    </w:p>
    <w:sectPr w:rsidR="008213C0" w:rsidRPr="00BF6DC1" w:rsidSect="00DA6AA4">
      <w:footerReference w:type="default" r:id="rId6"/>
      <w:pgSz w:w="11906" w:h="16838"/>
      <w:pgMar w:top="1417" w:right="1134" w:bottom="1134" w:left="1701" w:header="709" w:footer="709" w:gutter="0"/>
      <w:pgNumType w:start="107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D5976" w:rsidRDefault="00FD5976" w:rsidP="00FD5976">
      <w:pPr>
        <w:spacing w:after="0" w:line="240" w:lineRule="auto"/>
      </w:pPr>
      <w:r>
        <w:separator/>
      </w:r>
    </w:p>
  </w:endnote>
  <w:endnote w:type="continuationSeparator" w:id="0">
    <w:p w:rsidR="00FD5976" w:rsidRDefault="00FD5976" w:rsidP="00FD5976">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D5976" w:rsidRPr="00DA6AA4" w:rsidRDefault="00FD5976">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D5976" w:rsidRDefault="00FD5976" w:rsidP="00FD5976">
      <w:pPr>
        <w:spacing w:after="0" w:line="240" w:lineRule="auto"/>
      </w:pPr>
      <w:r>
        <w:separator/>
      </w:r>
    </w:p>
  </w:footnote>
  <w:footnote w:type="continuationSeparator" w:id="0">
    <w:p w:rsidR="00FD5976" w:rsidRDefault="00FD5976" w:rsidP="00FD5976">
      <w:pPr>
        <w:spacing w:after="0" w:line="240" w:lineRule="auto"/>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867A43"/>
    <w:rsid w:val="00000490"/>
    <w:rsid w:val="0006083D"/>
    <w:rsid w:val="000B601A"/>
    <w:rsid w:val="00101E98"/>
    <w:rsid w:val="001307E3"/>
    <w:rsid w:val="00164167"/>
    <w:rsid w:val="001A61FC"/>
    <w:rsid w:val="001E2D39"/>
    <w:rsid w:val="001F1D33"/>
    <w:rsid w:val="0025263A"/>
    <w:rsid w:val="00253262"/>
    <w:rsid w:val="002C599D"/>
    <w:rsid w:val="003203FA"/>
    <w:rsid w:val="00326475"/>
    <w:rsid w:val="00335277"/>
    <w:rsid w:val="00363C25"/>
    <w:rsid w:val="00377247"/>
    <w:rsid w:val="003E7FD4"/>
    <w:rsid w:val="00550FC5"/>
    <w:rsid w:val="005555D1"/>
    <w:rsid w:val="005765D0"/>
    <w:rsid w:val="00581083"/>
    <w:rsid w:val="006148C1"/>
    <w:rsid w:val="006516D4"/>
    <w:rsid w:val="0065628B"/>
    <w:rsid w:val="007E7792"/>
    <w:rsid w:val="008213C0"/>
    <w:rsid w:val="00867A43"/>
    <w:rsid w:val="008849AC"/>
    <w:rsid w:val="008B6972"/>
    <w:rsid w:val="008C30E9"/>
    <w:rsid w:val="00920984"/>
    <w:rsid w:val="00926EA1"/>
    <w:rsid w:val="00927208"/>
    <w:rsid w:val="009C09A8"/>
    <w:rsid w:val="00A432E8"/>
    <w:rsid w:val="00A67F80"/>
    <w:rsid w:val="00AE4D30"/>
    <w:rsid w:val="00B7757F"/>
    <w:rsid w:val="00BB2286"/>
    <w:rsid w:val="00BC327E"/>
    <w:rsid w:val="00BE5E01"/>
    <w:rsid w:val="00BF6DC1"/>
    <w:rsid w:val="00C632B9"/>
    <w:rsid w:val="00C67343"/>
    <w:rsid w:val="00C86201"/>
    <w:rsid w:val="00D31D3E"/>
    <w:rsid w:val="00DA6AA4"/>
    <w:rsid w:val="00E72A91"/>
    <w:rsid w:val="00E83F40"/>
    <w:rsid w:val="00EA557D"/>
    <w:rsid w:val="00EB7754"/>
    <w:rsid w:val="00EC4DC1"/>
    <w:rsid w:val="00EE517D"/>
    <w:rsid w:val="00F12E57"/>
    <w:rsid w:val="00F203D4"/>
    <w:rsid w:val="00F577A3"/>
    <w:rsid w:val="00FD5976"/>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213C0"/>
    <w:pPr>
      <w:spacing w:after="160" w:line="259" w:lineRule="auto"/>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semiHidden/>
    <w:unhideWhenUsed/>
    <w:rsid w:val="00FD597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FD5976"/>
  </w:style>
  <w:style w:type="paragraph" w:styleId="Piedepgina">
    <w:name w:val="footer"/>
    <w:basedOn w:val="Normal"/>
    <w:link w:val="PiedepginaCar"/>
    <w:uiPriority w:val="99"/>
    <w:semiHidden/>
    <w:unhideWhenUsed/>
    <w:rsid w:val="00FD597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FD5976"/>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Documentos\caty\PLANTILLA%20ORDENANZA%20BIEN.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PLANTILLA ORDENANZA BIEN.dotx</Template>
  <TotalTime>23</TotalTime>
  <Pages>1</Pages>
  <Words>196</Words>
  <Characters>1082</Characters>
  <Application>Microsoft Office Word</Application>
  <DocSecurity>0</DocSecurity>
  <Lines>9</Lines>
  <Paragraphs>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26</cp:revision>
  <cp:lastPrinted>2017-10-04T15:16:00Z</cp:lastPrinted>
  <dcterms:created xsi:type="dcterms:W3CDTF">2017-01-25T14:18:00Z</dcterms:created>
  <dcterms:modified xsi:type="dcterms:W3CDTF">2017-10-04T15:16:00Z</dcterms:modified>
</cp:coreProperties>
</file>