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37CC" w:rsidRPr="00F937CC" w:rsidRDefault="00F937CC" w:rsidP="00F937CC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F937CC">
        <w:rPr>
          <w:rFonts w:ascii="Book Antiqua" w:hAnsi="Book Antiqua"/>
          <w:bCs/>
          <w:lang w:val="es-AR"/>
        </w:rPr>
        <w:t>Yerba Buena, 20 de Mayo de 2010</w:t>
      </w:r>
    </w:p>
    <w:p w:rsidR="00F937CC" w:rsidRPr="006337D0" w:rsidRDefault="00F937CC" w:rsidP="00F937CC">
      <w:pPr>
        <w:keepNext/>
        <w:spacing w:before="60" w:after="180"/>
        <w:rPr>
          <w:rFonts w:ascii="Book Antiqua" w:hAnsi="Book Antiqua"/>
          <w:b/>
          <w:bCs/>
          <w:lang w:val="es-AR"/>
        </w:rPr>
      </w:pPr>
      <w:r w:rsidRPr="006337D0">
        <w:rPr>
          <w:rFonts w:ascii="Book Antiqua" w:hAnsi="Book Antiqua"/>
          <w:b/>
          <w:bCs/>
          <w:lang w:val="es-AR"/>
        </w:rPr>
        <w:t>ORDENANZA Nº 1758</w:t>
      </w:r>
    </w:p>
    <w:p w:rsidR="00F937CC" w:rsidRPr="006337D0" w:rsidRDefault="00F937CC" w:rsidP="00F937CC">
      <w:pPr>
        <w:keepNext/>
        <w:spacing w:before="60" w:after="60"/>
        <w:rPr>
          <w:rFonts w:ascii="Book Antiqua" w:hAnsi="Book Antiqua"/>
          <w:b/>
          <w:bCs/>
          <w:lang w:val="es-AR"/>
        </w:rPr>
      </w:pPr>
      <w:r w:rsidRPr="006337D0">
        <w:rPr>
          <w:rFonts w:ascii="Book Antiqua" w:hAnsi="Book Antiqua"/>
          <w:b/>
          <w:bCs/>
          <w:lang w:val="es-AR"/>
        </w:rPr>
        <w:t>VISTO</w:t>
      </w:r>
      <w:r w:rsidR="009823EA" w:rsidRPr="006337D0">
        <w:rPr>
          <w:rFonts w:ascii="Book Antiqua" w:hAnsi="Book Antiqua"/>
          <w:b/>
          <w:bCs/>
          <w:lang w:val="es-AR"/>
        </w:rPr>
        <w:t xml:space="preserve">: </w:t>
      </w:r>
    </w:p>
    <w:p w:rsidR="00B94A61" w:rsidRPr="006337D0" w:rsidRDefault="009823EA" w:rsidP="00F937CC">
      <w:pPr>
        <w:keepNext/>
        <w:spacing w:after="180"/>
        <w:jc w:val="both"/>
        <w:rPr>
          <w:rFonts w:ascii="Book Antiqua" w:hAnsi="Book Antiqua"/>
          <w:lang w:val="es-AR"/>
        </w:rPr>
      </w:pPr>
      <w:r w:rsidRPr="006337D0">
        <w:rPr>
          <w:rFonts w:ascii="Book Antiqua" w:hAnsi="Book Antiqua"/>
          <w:lang w:val="es-AR"/>
        </w:rPr>
        <w:t>El pedido efectuado por los Prestadores del S. A. A. Y. B.. mediante Expediente N° 077-T. -2010; y</w:t>
      </w:r>
    </w:p>
    <w:p w:rsidR="00F937CC" w:rsidRPr="006337D0" w:rsidRDefault="00F937CC" w:rsidP="00F937CC">
      <w:pPr>
        <w:keepNext/>
        <w:spacing w:before="60" w:after="60"/>
        <w:rPr>
          <w:rFonts w:ascii="Book Antiqua" w:hAnsi="Book Antiqua"/>
          <w:b/>
          <w:bCs/>
          <w:lang w:val="es-AR"/>
        </w:rPr>
      </w:pPr>
      <w:r w:rsidRPr="006337D0">
        <w:rPr>
          <w:rFonts w:ascii="Book Antiqua" w:hAnsi="Book Antiqua"/>
          <w:b/>
          <w:bCs/>
          <w:lang w:val="es-AR"/>
        </w:rPr>
        <w:t>CONSIDERANDO</w:t>
      </w:r>
      <w:r w:rsidR="009823EA" w:rsidRPr="006337D0">
        <w:rPr>
          <w:rFonts w:ascii="Book Antiqua" w:hAnsi="Book Antiqua"/>
          <w:b/>
          <w:bCs/>
          <w:lang w:val="es-AR"/>
        </w:rPr>
        <w:t xml:space="preserve">: </w:t>
      </w:r>
    </w:p>
    <w:p w:rsidR="00255528" w:rsidRPr="006337D0" w:rsidRDefault="009823EA" w:rsidP="00F937CC">
      <w:pPr>
        <w:keepNext/>
        <w:spacing w:after="180"/>
        <w:jc w:val="both"/>
        <w:rPr>
          <w:rFonts w:ascii="Book Antiqua" w:hAnsi="Book Antiqua"/>
          <w:lang w:val="es-AR"/>
        </w:rPr>
      </w:pPr>
      <w:r w:rsidRPr="006337D0">
        <w:rPr>
          <w:rFonts w:ascii="Book Antiqua" w:hAnsi="Book Antiqua"/>
          <w:lang w:val="es-AR"/>
        </w:rPr>
        <w:t>Que los Recurrentes solicitan la actualización de la tarifa y que se prorrogue el plazo otorgado por Ordenanza N° 1.732, en relación a los requisitos de antigüedad y color de los vehículos.</w:t>
      </w:r>
    </w:p>
    <w:p w:rsidR="00255528" w:rsidRPr="006337D0" w:rsidRDefault="009823EA" w:rsidP="00F937CC">
      <w:pPr>
        <w:pStyle w:val="Textoindependiente"/>
        <w:keepNext/>
        <w:spacing w:after="180"/>
        <w:rPr>
          <w:rFonts w:ascii="Book Antiqua" w:hAnsi="Book Antiqua"/>
        </w:rPr>
      </w:pPr>
      <w:r w:rsidRPr="006337D0">
        <w:rPr>
          <w:rFonts w:ascii="Book Antiqua" w:hAnsi="Book Antiqua"/>
        </w:rPr>
        <w:t>Que la Ordenanza N° 1.755, de fecha 15/04/10, modifica el Artículo Octavo, del Capítulo III, de la Ordenanza N° 1.753, estableciendo nuevas tarifas del Servicio de Automóvil de Alquiler de Yerba Buena “S. A. A. Y. B.</w:t>
      </w:r>
    </w:p>
    <w:p w:rsidR="00255528" w:rsidRPr="006337D0" w:rsidRDefault="009823EA" w:rsidP="00F937CC">
      <w:pPr>
        <w:keepNext/>
        <w:spacing w:after="180"/>
        <w:jc w:val="both"/>
        <w:rPr>
          <w:rFonts w:ascii="Book Antiqua" w:hAnsi="Book Antiqua"/>
          <w:lang w:val="es-AR"/>
        </w:rPr>
      </w:pPr>
      <w:r w:rsidRPr="006337D0">
        <w:rPr>
          <w:rFonts w:ascii="Book Antiqua" w:hAnsi="Book Antiqua"/>
          <w:lang w:val="es-AR"/>
        </w:rPr>
        <w:t>Que el Artículo Trigésimo Cuarto, de la Ordenanza N° 1.573, establece que los dos primeros años de vigencia de la Normativa, la antigüedad de los automotores será de 18 años y cumplido este plazo, será de 14 años.</w:t>
      </w:r>
    </w:p>
    <w:p w:rsidR="00255528" w:rsidRPr="006337D0" w:rsidRDefault="009823EA" w:rsidP="00F937CC">
      <w:pPr>
        <w:keepNext/>
        <w:spacing w:after="180"/>
        <w:jc w:val="both"/>
        <w:rPr>
          <w:rFonts w:ascii="Book Antiqua" w:hAnsi="Book Antiqua"/>
          <w:lang w:val="es-AR"/>
        </w:rPr>
      </w:pPr>
      <w:r w:rsidRPr="006337D0">
        <w:rPr>
          <w:rFonts w:ascii="Book Antiqua" w:hAnsi="Book Antiqua"/>
          <w:lang w:val="es-AR"/>
        </w:rPr>
        <w:t>Que el Artículo Trigésimo Sexto, de la Ordenanza N° 1.573 establece que las unidades deberán estar pintadas de color blanco, en su totalidad y poseer pintados en ambas puertas delanteras un Logo de las características y diseño establecidas en el Anexo III, de la citada Ordenanza; además llevarán una banda adhesiva color verde en los laterales, cuya longitud ocupará solo ambas puertas delanteras. La misma franja se repetirá en la parte anterior, sobre el capot y en la parte trasera del vehículo, sobre el baúl.</w:t>
      </w:r>
    </w:p>
    <w:p w:rsidR="00255528" w:rsidRPr="006337D0" w:rsidRDefault="00C32876" w:rsidP="00F937CC">
      <w:pPr>
        <w:keepNext/>
        <w:spacing w:after="180"/>
        <w:jc w:val="both"/>
        <w:rPr>
          <w:rFonts w:ascii="Book Antiqua" w:hAnsi="Book Antiqua"/>
          <w:lang w:val="es-AR"/>
        </w:rPr>
      </w:pPr>
      <w:r w:rsidRPr="006337D0">
        <w:rPr>
          <w:rFonts w:ascii="Book Antiqua" w:hAnsi="Book Antiqua"/>
          <w:lang w:val="es-AR"/>
        </w:rPr>
        <w:t>Que la severa crisis económica que está afectando al sector</w:t>
      </w:r>
      <w:r w:rsidR="00F937CC" w:rsidRPr="006337D0">
        <w:rPr>
          <w:rFonts w:ascii="Book Antiqua" w:hAnsi="Book Antiqua"/>
          <w:lang w:val="es-AR"/>
        </w:rPr>
        <w:t xml:space="preserve">, </w:t>
      </w:r>
      <w:r w:rsidRPr="006337D0">
        <w:rPr>
          <w:rFonts w:ascii="Book Antiqua" w:hAnsi="Book Antiqua"/>
          <w:lang w:val="es-AR"/>
        </w:rPr>
        <w:t>como a toda la sociedad</w:t>
      </w:r>
      <w:r w:rsidR="00F937CC" w:rsidRPr="006337D0">
        <w:rPr>
          <w:rFonts w:ascii="Book Antiqua" w:hAnsi="Book Antiqua"/>
          <w:lang w:val="es-AR"/>
        </w:rPr>
        <w:t xml:space="preserve">, </w:t>
      </w:r>
      <w:r w:rsidRPr="006337D0">
        <w:rPr>
          <w:rFonts w:ascii="Book Antiqua" w:hAnsi="Book Antiqua"/>
          <w:lang w:val="es-AR"/>
        </w:rPr>
        <w:t>con los constantes aumentos de insumos</w:t>
      </w:r>
      <w:r w:rsidR="00F937CC" w:rsidRPr="006337D0">
        <w:rPr>
          <w:rFonts w:ascii="Book Antiqua" w:hAnsi="Book Antiqua"/>
          <w:lang w:val="es-AR"/>
        </w:rPr>
        <w:t xml:space="preserve">, </w:t>
      </w:r>
      <w:r w:rsidRPr="006337D0">
        <w:rPr>
          <w:rFonts w:ascii="Book Antiqua" w:hAnsi="Book Antiqua"/>
          <w:lang w:val="es-AR"/>
        </w:rPr>
        <w:t>combustibles</w:t>
      </w:r>
      <w:r w:rsidR="00F937CC" w:rsidRPr="006337D0">
        <w:rPr>
          <w:rFonts w:ascii="Book Antiqua" w:hAnsi="Book Antiqua"/>
          <w:lang w:val="es-AR"/>
        </w:rPr>
        <w:t xml:space="preserve">, </w:t>
      </w:r>
      <w:r w:rsidRPr="006337D0">
        <w:rPr>
          <w:rFonts w:ascii="Book Antiqua" w:hAnsi="Book Antiqua"/>
          <w:lang w:val="es-AR"/>
        </w:rPr>
        <w:t>repuestos</w:t>
      </w:r>
      <w:r w:rsidR="00F937CC" w:rsidRPr="006337D0">
        <w:rPr>
          <w:rFonts w:ascii="Book Antiqua" w:hAnsi="Book Antiqua"/>
          <w:lang w:val="es-AR"/>
        </w:rPr>
        <w:t xml:space="preserve">, </w:t>
      </w:r>
      <w:r w:rsidRPr="006337D0">
        <w:rPr>
          <w:rFonts w:ascii="Book Antiqua" w:hAnsi="Book Antiqua"/>
          <w:lang w:val="es-AR"/>
        </w:rPr>
        <w:t>mano de obra</w:t>
      </w:r>
      <w:r w:rsidR="00F937CC" w:rsidRPr="006337D0">
        <w:rPr>
          <w:rFonts w:ascii="Book Antiqua" w:hAnsi="Book Antiqua"/>
          <w:lang w:val="es-AR"/>
        </w:rPr>
        <w:t xml:space="preserve">, </w:t>
      </w:r>
      <w:r w:rsidRPr="006337D0">
        <w:rPr>
          <w:rFonts w:ascii="Book Antiqua" w:hAnsi="Book Antiqua"/>
          <w:lang w:val="es-AR"/>
        </w:rPr>
        <w:t>además del valor de los vehículos en plaza</w:t>
      </w:r>
      <w:r w:rsidR="00F937CC" w:rsidRPr="006337D0">
        <w:rPr>
          <w:rFonts w:ascii="Book Antiqua" w:hAnsi="Book Antiqua"/>
          <w:lang w:val="es-AR"/>
        </w:rPr>
        <w:t xml:space="preserve">, </w:t>
      </w:r>
      <w:r w:rsidRPr="006337D0">
        <w:rPr>
          <w:rFonts w:ascii="Book Antiqua" w:hAnsi="Book Antiqua"/>
          <w:lang w:val="es-AR"/>
        </w:rPr>
        <w:t>ha impedido a los propietarios a cambiar los modelos 89</w:t>
      </w:r>
      <w:r w:rsidR="00F937CC" w:rsidRPr="006337D0">
        <w:rPr>
          <w:rFonts w:ascii="Book Antiqua" w:hAnsi="Book Antiqua"/>
          <w:lang w:val="es-AR"/>
        </w:rPr>
        <w:t xml:space="preserve">, </w:t>
      </w:r>
      <w:r w:rsidRPr="006337D0">
        <w:rPr>
          <w:rFonts w:ascii="Book Antiqua" w:hAnsi="Book Antiqua"/>
          <w:lang w:val="es-AR"/>
        </w:rPr>
        <w:t>90 y 91</w:t>
      </w:r>
      <w:r w:rsidR="00F937CC" w:rsidRPr="006337D0">
        <w:rPr>
          <w:rFonts w:ascii="Book Antiqua" w:hAnsi="Book Antiqua"/>
          <w:lang w:val="es-AR"/>
        </w:rPr>
        <w:t xml:space="preserve">, </w:t>
      </w:r>
      <w:r w:rsidRPr="006337D0">
        <w:rPr>
          <w:rFonts w:ascii="Book Antiqua" w:hAnsi="Book Antiqua"/>
          <w:lang w:val="es-AR"/>
        </w:rPr>
        <w:t>a la fecha</w:t>
      </w:r>
      <w:r w:rsidR="00F937CC" w:rsidRPr="006337D0">
        <w:rPr>
          <w:rFonts w:ascii="Book Antiqua" w:hAnsi="Book Antiqua"/>
          <w:lang w:val="es-AR"/>
        </w:rPr>
        <w:t xml:space="preserve">, </w:t>
      </w:r>
      <w:r w:rsidRPr="006337D0">
        <w:rPr>
          <w:rFonts w:ascii="Book Antiqua" w:hAnsi="Book Antiqua"/>
          <w:lang w:val="es-AR"/>
        </w:rPr>
        <w:t>como así también</w:t>
      </w:r>
      <w:r w:rsidR="00F937CC" w:rsidRPr="006337D0">
        <w:rPr>
          <w:rFonts w:ascii="Book Antiqua" w:hAnsi="Book Antiqua"/>
          <w:lang w:val="es-AR"/>
        </w:rPr>
        <w:t xml:space="preserve">, </w:t>
      </w:r>
      <w:r w:rsidRPr="006337D0">
        <w:rPr>
          <w:rFonts w:ascii="Book Antiqua" w:hAnsi="Book Antiqua"/>
          <w:lang w:val="es-AR"/>
        </w:rPr>
        <w:t>cumplir con los requisitos de color</w:t>
      </w:r>
      <w:r w:rsidR="00F937CC" w:rsidRPr="006337D0">
        <w:rPr>
          <w:rFonts w:ascii="Book Antiqua" w:hAnsi="Book Antiqua"/>
          <w:lang w:val="es-AR"/>
        </w:rPr>
        <w:t xml:space="preserve">, </w:t>
      </w:r>
      <w:r w:rsidRPr="006337D0">
        <w:rPr>
          <w:rFonts w:ascii="Book Antiqua" w:hAnsi="Book Antiqua"/>
          <w:lang w:val="es-AR"/>
        </w:rPr>
        <w:t>Logo</w:t>
      </w:r>
      <w:r w:rsidR="00F937CC" w:rsidRPr="006337D0">
        <w:rPr>
          <w:rFonts w:ascii="Book Antiqua" w:hAnsi="Book Antiqua"/>
          <w:lang w:val="es-AR"/>
        </w:rPr>
        <w:t xml:space="preserve">, </w:t>
      </w:r>
      <w:r w:rsidRPr="006337D0">
        <w:rPr>
          <w:rFonts w:ascii="Book Antiqua" w:hAnsi="Book Antiqua"/>
          <w:lang w:val="es-AR"/>
        </w:rPr>
        <w:t>etc</w:t>
      </w:r>
      <w:r w:rsidR="00F937CC" w:rsidRPr="006337D0">
        <w:rPr>
          <w:rFonts w:ascii="Book Antiqua" w:hAnsi="Book Antiqua"/>
          <w:lang w:val="es-AR"/>
        </w:rPr>
        <w:t>.</w:t>
      </w:r>
    </w:p>
    <w:p w:rsidR="00255528" w:rsidRPr="006337D0" w:rsidRDefault="00C32876" w:rsidP="00F937CC">
      <w:pPr>
        <w:keepNext/>
        <w:spacing w:after="180"/>
        <w:jc w:val="both"/>
        <w:rPr>
          <w:rFonts w:ascii="Book Antiqua" w:hAnsi="Book Antiqua"/>
          <w:lang w:val="es-AR"/>
        </w:rPr>
      </w:pPr>
      <w:r w:rsidRPr="006337D0">
        <w:rPr>
          <w:rFonts w:ascii="Book Antiqua" w:hAnsi="Book Antiqua"/>
          <w:lang w:val="es-AR"/>
        </w:rPr>
        <w:t>Que el argumento citado resulta plenamente válido para dar solución a lo peticionado</w:t>
      </w:r>
      <w:r w:rsidR="00F937CC" w:rsidRPr="006337D0">
        <w:rPr>
          <w:rFonts w:ascii="Book Antiqua" w:hAnsi="Book Antiqua"/>
          <w:lang w:val="es-AR"/>
        </w:rPr>
        <w:t>;</w:t>
      </w:r>
    </w:p>
    <w:p w:rsidR="00B94A61" w:rsidRPr="006337D0" w:rsidRDefault="00255528" w:rsidP="00255528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6337D0">
        <w:rPr>
          <w:rFonts w:ascii="Book Antiqua" w:hAnsi="Book Antiqua"/>
          <w:b/>
          <w:bCs/>
          <w:lang w:val="es-AR"/>
        </w:rPr>
        <w:t>EL CONCEJO DELIBERANTE SANCIONA CON FUERZA DE ORDENANZA</w:t>
      </w:r>
    </w:p>
    <w:p w:rsidR="00255528" w:rsidRPr="006337D0" w:rsidRDefault="00B0214B" w:rsidP="00B0214B">
      <w:pPr>
        <w:keepNext/>
        <w:spacing w:after="180"/>
        <w:jc w:val="both"/>
        <w:rPr>
          <w:rFonts w:ascii="Book Antiqua" w:hAnsi="Book Antiqua"/>
          <w:lang w:val="es-AR"/>
        </w:rPr>
      </w:pPr>
      <w:r w:rsidRPr="00B0214B">
        <w:rPr>
          <w:rFonts w:ascii="Book Antiqua" w:hAnsi="Book Antiqua"/>
          <w:bCs/>
          <w:u w:val="single"/>
          <w:lang w:val="es-AR"/>
        </w:rPr>
        <w:t>ARTÍCULO PRIMERO</w:t>
      </w:r>
      <w:r w:rsidR="009823EA" w:rsidRPr="009823EA">
        <w:rPr>
          <w:rFonts w:ascii="Book Antiqua" w:hAnsi="Book Antiqua"/>
          <w:bCs/>
          <w:lang w:val="es-AR"/>
        </w:rPr>
        <w:t>:</w:t>
      </w:r>
      <w:r w:rsidR="009823EA" w:rsidRPr="006337D0">
        <w:rPr>
          <w:rFonts w:ascii="Book Antiqua" w:hAnsi="Book Antiqua"/>
          <w:bCs/>
          <w:lang w:val="es-AR"/>
        </w:rPr>
        <w:t xml:space="preserve"> PRORRÓGASE hasta el 31/12/10 el plazo otorgado por el Artículo 1°, de la Ordenanza N° 1.732, para adecuar al requisito de antigüedad a los vehículos afectados al S. A. A. Y. B.</w:t>
      </w:r>
    </w:p>
    <w:p w:rsidR="00255528" w:rsidRPr="006337D0" w:rsidRDefault="00B0214B" w:rsidP="00B0214B">
      <w:pPr>
        <w:keepNext/>
        <w:spacing w:after="180"/>
        <w:jc w:val="both"/>
        <w:rPr>
          <w:rFonts w:ascii="Book Antiqua" w:hAnsi="Book Antiqua"/>
          <w:lang w:val="es-AR"/>
        </w:rPr>
      </w:pPr>
      <w:r w:rsidRPr="00B0214B">
        <w:rPr>
          <w:rFonts w:ascii="Book Antiqua" w:hAnsi="Book Antiqua"/>
          <w:bCs/>
          <w:u w:val="single"/>
          <w:lang w:val="es-AR"/>
        </w:rPr>
        <w:t>ARTÍCULO SEGUNDO</w:t>
      </w:r>
      <w:r w:rsidR="009823EA" w:rsidRPr="009823EA">
        <w:rPr>
          <w:rFonts w:ascii="Book Antiqua" w:hAnsi="Book Antiqua"/>
          <w:bCs/>
          <w:lang w:val="es-AR"/>
        </w:rPr>
        <w:t>:</w:t>
      </w:r>
      <w:r w:rsidR="009823EA" w:rsidRPr="006337D0">
        <w:rPr>
          <w:rFonts w:ascii="Book Antiqua" w:hAnsi="Book Antiqua"/>
          <w:bCs/>
          <w:lang w:val="es-AR"/>
        </w:rPr>
        <w:t xml:space="preserve"> PRORRÓGASE hasta el 30 de Julio de 2010 el plazo otorgado por el Artículo 2°, de la Ordenanza N° 1.732, para adecuar el requisito del Artículo Trigésimo Sexto, de la Ordenanza N° 1.573.</w:t>
      </w:r>
    </w:p>
    <w:p w:rsidR="00255528" w:rsidRPr="006337D0" w:rsidRDefault="00B0214B" w:rsidP="00B0214B">
      <w:pPr>
        <w:keepNext/>
        <w:spacing w:after="180"/>
        <w:jc w:val="both"/>
        <w:rPr>
          <w:rFonts w:ascii="Book Antiqua" w:hAnsi="Book Antiqua"/>
          <w:lang w:val="es-AR"/>
        </w:rPr>
      </w:pPr>
      <w:r w:rsidRPr="00B0214B">
        <w:rPr>
          <w:rFonts w:ascii="Book Antiqua" w:hAnsi="Book Antiqua"/>
          <w:bCs/>
          <w:u w:val="single"/>
          <w:lang w:val="es-AR"/>
        </w:rPr>
        <w:t>ARTÍCULO TERCERO</w:t>
      </w:r>
      <w:r w:rsidR="009823EA" w:rsidRPr="009823EA">
        <w:rPr>
          <w:rFonts w:ascii="Book Antiqua" w:hAnsi="Book Antiqua"/>
          <w:bCs/>
          <w:lang w:val="es-AR"/>
        </w:rPr>
        <w:t>:</w:t>
      </w:r>
      <w:r w:rsidR="009823EA" w:rsidRPr="006337D0">
        <w:rPr>
          <w:rFonts w:ascii="Book Antiqua" w:hAnsi="Book Antiqua"/>
          <w:bCs/>
          <w:lang w:val="es-AR"/>
        </w:rPr>
        <w:t xml:space="preserve"> </w:t>
      </w:r>
      <w:r w:rsidR="00C32876" w:rsidRPr="006337D0">
        <w:rPr>
          <w:rFonts w:ascii="Book Antiqua" w:hAnsi="Book Antiqua"/>
          <w:bCs/>
          <w:lang w:val="es-AR"/>
        </w:rPr>
        <w:t>SUSPENDESE</w:t>
      </w:r>
      <w:r w:rsidR="00C32876" w:rsidRPr="006337D0">
        <w:rPr>
          <w:rFonts w:ascii="Book Antiqua" w:hAnsi="Book Antiqua"/>
          <w:lang w:val="es-AR"/>
        </w:rPr>
        <w:t xml:space="preserve"> vigencia del Artículo Vigésimo Noveno de la Ordenanza N</w:t>
      </w:r>
      <w:r w:rsidR="00F937CC" w:rsidRPr="006337D0">
        <w:rPr>
          <w:rFonts w:ascii="Book Antiqua" w:hAnsi="Book Antiqua"/>
          <w:lang w:val="es-AR"/>
        </w:rPr>
        <w:t xml:space="preserve">º </w:t>
      </w:r>
      <w:r w:rsidR="00C32876" w:rsidRPr="006337D0">
        <w:rPr>
          <w:rFonts w:ascii="Book Antiqua" w:hAnsi="Book Antiqua"/>
          <w:lang w:val="es-AR"/>
        </w:rPr>
        <w:t>1573 hasta el 31/12/2010</w:t>
      </w:r>
      <w:r w:rsidR="00F937CC" w:rsidRPr="006337D0">
        <w:rPr>
          <w:rFonts w:ascii="Book Antiqua" w:hAnsi="Book Antiqua"/>
          <w:lang w:val="es-AR"/>
        </w:rPr>
        <w:t>.</w:t>
      </w:r>
    </w:p>
    <w:p w:rsidR="00255528" w:rsidRPr="006337D0" w:rsidRDefault="00B0214B" w:rsidP="00B0214B">
      <w:pPr>
        <w:keepNext/>
        <w:spacing w:after="180"/>
        <w:jc w:val="both"/>
        <w:rPr>
          <w:rFonts w:ascii="Book Antiqua" w:hAnsi="Book Antiqua"/>
          <w:lang w:val="es-AR"/>
        </w:rPr>
      </w:pPr>
      <w:r w:rsidRPr="00B0214B">
        <w:rPr>
          <w:rFonts w:ascii="Book Antiqua" w:hAnsi="Book Antiqua"/>
          <w:bCs/>
          <w:u w:val="single"/>
          <w:lang w:val="es-AR"/>
        </w:rPr>
        <w:lastRenderedPageBreak/>
        <w:t>ARTÍCULO CUARTO</w:t>
      </w:r>
      <w:r w:rsidR="009823EA" w:rsidRPr="009823EA">
        <w:rPr>
          <w:rFonts w:ascii="Book Antiqua" w:hAnsi="Book Antiqua"/>
          <w:bCs/>
          <w:lang w:val="es-AR"/>
        </w:rPr>
        <w:t>:</w:t>
      </w:r>
      <w:r w:rsidR="009823EA" w:rsidRPr="006337D0">
        <w:rPr>
          <w:rFonts w:ascii="Book Antiqua" w:hAnsi="Book Antiqua"/>
          <w:bCs/>
          <w:lang w:val="es-AR"/>
        </w:rPr>
        <w:t xml:space="preserve"> </w:t>
      </w:r>
      <w:r w:rsidR="00C32876" w:rsidRPr="006337D0">
        <w:rPr>
          <w:rFonts w:ascii="Book Antiqua" w:hAnsi="Book Antiqua"/>
          <w:bCs/>
          <w:lang w:val="es-AR"/>
        </w:rPr>
        <w:t>FACULTASE</w:t>
      </w:r>
      <w:r w:rsidR="00C32876" w:rsidRPr="006337D0">
        <w:rPr>
          <w:rFonts w:ascii="Book Antiqua" w:hAnsi="Book Antiqua"/>
          <w:lang w:val="es-AR"/>
        </w:rPr>
        <w:t xml:space="preserve"> al </w:t>
      </w:r>
      <w:r w:rsidR="003B45E1" w:rsidRPr="006337D0">
        <w:rPr>
          <w:rFonts w:ascii="Book Antiqua" w:hAnsi="Book Antiqua"/>
          <w:lang w:val="es-AR"/>
        </w:rPr>
        <w:t>D.E.M.</w:t>
      </w:r>
      <w:r w:rsidR="00C32876" w:rsidRPr="006337D0">
        <w:rPr>
          <w:rFonts w:ascii="Book Antiqua" w:hAnsi="Book Antiqua"/>
          <w:lang w:val="es-AR"/>
        </w:rPr>
        <w:t>a elaborar la reglamentación para el cumplimiento de lo dispuesto en el Artículo Tercero</w:t>
      </w:r>
      <w:r w:rsidR="00F937CC" w:rsidRPr="006337D0">
        <w:rPr>
          <w:rFonts w:ascii="Book Antiqua" w:hAnsi="Book Antiqua"/>
          <w:lang w:val="es-AR"/>
        </w:rPr>
        <w:t>.</w:t>
      </w:r>
    </w:p>
    <w:p w:rsidR="00EC6E2F" w:rsidRPr="00F937CC" w:rsidRDefault="00B0214B" w:rsidP="00F937CC">
      <w:pPr>
        <w:keepNext/>
        <w:spacing w:after="180"/>
        <w:jc w:val="both"/>
        <w:rPr>
          <w:rFonts w:ascii="Book Antiqua" w:hAnsi="Book Antiqua"/>
          <w:bCs/>
        </w:rPr>
      </w:pPr>
      <w:r w:rsidRPr="00B0214B">
        <w:rPr>
          <w:rFonts w:ascii="Book Antiqua" w:hAnsi="Book Antiqua"/>
          <w:bCs/>
          <w:u w:val="single"/>
        </w:rPr>
        <w:t>ARTÍCULO QUINTO</w:t>
      </w:r>
      <w:r w:rsidR="009823EA" w:rsidRPr="009823EA">
        <w:rPr>
          <w:rFonts w:ascii="Book Antiqua" w:hAnsi="Book Antiqua"/>
          <w:bCs/>
        </w:rPr>
        <w:t>:</w:t>
      </w:r>
      <w:r w:rsidR="009823EA" w:rsidRPr="006337D0">
        <w:rPr>
          <w:rFonts w:ascii="Book Antiqua" w:hAnsi="Book Antiqua"/>
          <w:bCs/>
        </w:rPr>
        <w:t xml:space="preserve"> </w:t>
      </w:r>
      <w:r w:rsidR="00C32876" w:rsidRPr="006337D0">
        <w:rPr>
          <w:rFonts w:ascii="Book Antiqua" w:hAnsi="Book Antiqua"/>
          <w:bCs/>
        </w:rPr>
        <w:t>COMUNIQUESE</w:t>
      </w:r>
      <w:r w:rsidR="00F937CC" w:rsidRPr="006337D0">
        <w:rPr>
          <w:rFonts w:ascii="Book Antiqua" w:hAnsi="Book Antiqua"/>
          <w:bCs/>
        </w:rPr>
        <w:t xml:space="preserve">, </w:t>
      </w:r>
      <w:r w:rsidR="00C32876" w:rsidRPr="006337D0">
        <w:rPr>
          <w:rFonts w:ascii="Book Antiqua" w:hAnsi="Book Antiqua"/>
          <w:bCs/>
        </w:rPr>
        <w:t>REGISTRESE Y ARCHIVESE</w:t>
      </w:r>
      <w:r w:rsidR="00F937CC" w:rsidRPr="006337D0">
        <w:rPr>
          <w:rFonts w:ascii="Book Antiqua" w:hAnsi="Book Antiqua"/>
          <w:bCs/>
        </w:rPr>
        <w:t>.</w:t>
      </w:r>
      <w:bookmarkStart w:id="0" w:name="_GoBack"/>
      <w:bookmarkEnd w:id="0"/>
      <w:r w:rsidR="006337D0" w:rsidRPr="00F937CC">
        <w:rPr>
          <w:rFonts w:ascii="Book Antiqua" w:hAnsi="Book Antiqua"/>
          <w:bCs/>
        </w:rPr>
        <w:t xml:space="preserve"> </w:t>
      </w:r>
    </w:p>
    <w:sectPr w:rsidR="00EC6E2F" w:rsidRPr="00F937CC" w:rsidSect="00B04FF0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19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F626A" w:rsidRDefault="002F626A">
      <w:r>
        <w:separator/>
      </w:r>
    </w:p>
  </w:endnote>
  <w:endnote w:type="continuationSeparator" w:id="0">
    <w:p w:rsidR="002F626A" w:rsidRDefault="002F626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6E2F" w:rsidRDefault="001B42AD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C32876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EC6E2F" w:rsidRDefault="00EC6E2F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6E2F" w:rsidRPr="00B04FF0" w:rsidRDefault="00EC6E2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F626A" w:rsidRDefault="002F626A">
      <w:r>
        <w:separator/>
      </w:r>
    </w:p>
  </w:footnote>
  <w:footnote w:type="continuationSeparator" w:id="0">
    <w:p w:rsidR="002F626A" w:rsidRDefault="002F626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33CD8"/>
    <w:multiLevelType w:val="hybridMultilevel"/>
    <w:tmpl w:val="B5200A28"/>
    <w:lvl w:ilvl="0" w:tplc="0C0A0001">
      <w:start w:val="8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6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33DC4478"/>
    <w:multiLevelType w:val="hybridMultilevel"/>
    <w:tmpl w:val="C4BE3C9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52D92911"/>
    <w:multiLevelType w:val="hybridMultilevel"/>
    <w:tmpl w:val="8F02A846"/>
    <w:lvl w:ilvl="0" w:tplc="048A986A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5DCF1F87"/>
    <w:multiLevelType w:val="hybridMultilevel"/>
    <w:tmpl w:val="6A743CD8"/>
    <w:lvl w:ilvl="0" w:tplc="E7509A7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790C266B"/>
    <w:multiLevelType w:val="hybridMultilevel"/>
    <w:tmpl w:val="61BE169A"/>
    <w:lvl w:ilvl="0" w:tplc="B1AA70EA">
      <w:start w:val="5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79FA2F1C"/>
    <w:multiLevelType w:val="hybridMultilevel"/>
    <w:tmpl w:val="2EA4A22A"/>
    <w:lvl w:ilvl="0" w:tplc="D5826968">
      <w:numFmt w:val="bullet"/>
      <w:lvlText w:val=""/>
      <w:lvlJc w:val="left"/>
      <w:pPr>
        <w:tabs>
          <w:tab w:val="num" w:pos="1653"/>
        </w:tabs>
        <w:ind w:left="1653" w:hanging="945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6"/>
  </w:num>
  <w:num w:numId="5">
    <w:abstractNumId w:val="3"/>
  </w:num>
  <w:num w:numId="6">
    <w:abstractNumId w:val="7"/>
  </w:num>
  <w:num w:numId="7">
    <w:abstractNumId w:val="4"/>
  </w:num>
  <w:num w:numId="8">
    <w:abstractNumId w:val="10"/>
  </w:num>
  <w:num w:numId="9">
    <w:abstractNumId w:val="8"/>
  </w:num>
  <w:num w:numId="10">
    <w:abstractNumId w:val="0"/>
  </w:num>
  <w:num w:numId="11">
    <w:abstractNumId w:val="9"/>
  </w:num>
  <w:num w:numId="12">
    <w:abstractNumId w:val="14"/>
  </w:num>
  <w:num w:numId="13">
    <w:abstractNumId w:val="11"/>
  </w:num>
  <w:num w:numId="14">
    <w:abstractNumId w:val="13"/>
  </w:num>
  <w:num w:numId="15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C32876"/>
    <w:rsid w:val="00052AB6"/>
    <w:rsid w:val="000A655C"/>
    <w:rsid w:val="000F1D16"/>
    <w:rsid w:val="00143DF2"/>
    <w:rsid w:val="001519FD"/>
    <w:rsid w:val="001B42AD"/>
    <w:rsid w:val="002239F5"/>
    <w:rsid w:val="00255528"/>
    <w:rsid w:val="002F626A"/>
    <w:rsid w:val="00322EFE"/>
    <w:rsid w:val="003B45E1"/>
    <w:rsid w:val="004335C1"/>
    <w:rsid w:val="00466500"/>
    <w:rsid w:val="004B3731"/>
    <w:rsid w:val="004D258A"/>
    <w:rsid w:val="006337D0"/>
    <w:rsid w:val="006D1531"/>
    <w:rsid w:val="00833095"/>
    <w:rsid w:val="0089482A"/>
    <w:rsid w:val="008D66A7"/>
    <w:rsid w:val="009823EA"/>
    <w:rsid w:val="0099505F"/>
    <w:rsid w:val="009E6216"/>
    <w:rsid w:val="00A37783"/>
    <w:rsid w:val="00A47052"/>
    <w:rsid w:val="00AC5256"/>
    <w:rsid w:val="00B0214B"/>
    <w:rsid w:val="00B04FF0"/>
    <w:rsid w:val="00B54D75"/>
    <w:rsid w:val="00B94A61"/>
    <w:rsid w:val="00BD09EE"/>
    <w:rsid w:val="00BD55F4"/>
    <w:rsid w:val="00BD5F0D"/>
    <w:rsid w:val="00BE12A0"/>
    <w:rsid w:val="00BE6C38"/>
    <w:rsid w:val="00C32876"/>
    <w:rsid w:val="00C605F0"/>
    <w:rsid w:val="00C806CB"/>
    <w:rsid w:val="00CD19A7"/>
    <w:rsid w:val="00CE47E7"/>
    <w:rsid w:val="00E20F32"/>
    <w:rsid w:val="00E47AFF"/>
    <w:rsid w:val="00EC6E2F"/>
    <w:rsid w:val="00F118B2"/>
    <w:rsid w:val="00F91271"/>
    <w:rsid w:val="00F937CC"/>
    <w:rsid w:val="00F97F8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6E2F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C6E2F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EC6E2F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EC6E2F"/>
    <w:pPr>
      <w:keepNext/>
      <w:outlineLvl w:val="2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EC6E2F"/>
    <w:pPr>
      <w:keepNext/>
      <w:ind w:firstLine="708"/>
      <w:jc w:val="center"/>
      <w:outlineLvl w:val="3"/>
    </w:pPr>
    <w:rPr>
      <w:b/>
      <w:bCs/>
      <w:lang w:val="es-AR"/>
    </w:rPr>
  </w:style>
  <w:style w:type="paragraph" w:styleId="Ttulo5">
    <w:name w:val="heading 5"/>
    <w:basedOn w:val="Normal"/>
    <w:next w:val="Normal"/>
    <w:qFormat/>
    <w:rsid w:val="00EC6E2F"/>
    <w:pPr>
      <w:keepNext/>
      <w:jc w:val="center"/>
      <w:outlineLvl w:val="4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EC6E2F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EC6E2F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semiHidden/>
    <w:rsid w:val="00EC6E2F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EC6E2F"/>
  </w:style>
  <w:style w:type="paragraph" w:styleId="Sangradetextonormal">
    <w:name w:val="Body Text Indent"/>
    <w:basedOn w:val="Normal"/>
    <w:semiHidden/>
    <w:rsid w:val="00EC6E2F"/>
    <w:pPr>
      <w:ind w:firstLine="1800"/>
      <w:jc w:val="both"/>
    </w:pPr>
  </w:style>
  <w:style w:type="paragraph" w:styleId="Sangra2detindependiente">
    <w:name w:val="Body Text Indent 2"/>
    <w:basedOn w:val="Normal"/>
    <w:semiHidden/>
    <w:rsid w:val="00EC6E2F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semiHidden/>
    <w:rsid w:val="00EC6E2F"/>
    <w:pPr>
      <w:ind w:firstLine="708"/>
      <w:jc w:val="both"/>
    </w:pPr>
    <w:rPr>
      <w:bCs/>
    </w:rPr>
  </w:style>
  <w:style w:type="paragraph" w:styleId="Encabezado">
    <w:name w:val="header"/>
    <w:basedOn w:val="Normal"/>
    <w:link w:val="EncabezadoCar"/>
    <w:uiPriority w:val="99"/>
    <w:semiHidden/>
    <w:unhideWhenUsed/>
    <w:rsid w:val="00A3778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37783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383</Words>
  <Characters>2112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2491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27</cp:revision>
  <cp:lastPrinted>2017-10-04T15:21:00Z</cp:lastPrinted>
  <dcterms:created xsi:type="dcterms:W3CDTF">2017-05-11T14:13:00Z</dcterms:created>
  <dcterms:modified xsi:type="dcterms:W3CDTF">2017-10-04T15:21:00Z</dcterms:modified>
</cp:coreProperties>
</file>