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78A" w:rsidRPr="00EE678A" w:rsidRDefault="00EE678A" w:rsidP="00EE678A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EE678A">
        <w:rPr>
          <w:rFonts w:ascii="Book Antiqua" w:hAnsi="Book Antiqua"/>
          <w:sz w:val="24"/>
        </w:rPr>
        <w:t>Yerba Buena, 19 de Marzo de 2001</w:t>
      </w:r>
    </w:p>
    <w:p w:rsidR="00EE678A" w:rsidRPr="00EE678A" w:rsidRDefault="00EE678A" w:rsidP="00EE678A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EE678A">
        <w:rPr>
          <w:rFonts w:ascii="Book Antiqua" w:hAnsi="Book Antiqua"/>
          <w:b/>
          <w:sz w:val="24"/>
        </w:rPr>
        <w:t>ORDENANZA Nº 1145</w:t>
      </w:r>
    </w:p>
    <w:p w:rsidR="00EE678A" w:rsidRPr="00EE678A" w:rsidRDefault="00EE678A" w:rsidP="00EE678A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EE678A">
        <w:rPr>
          <w:rFonts w:ascii="Book Antiqua" w:hAnsi="Book Antiqua"/>
          <w:b/>
          <w:sz w:val="24"/>
        </w:rPr>
        <w:t>VISTO:</w:t>
      </w:r>
    </w:p>
    <w:p w:rsidR="002C4EB2" w:rsidRPr="00EE678A" w:rsidRDefault="00EE678A" w:rsidP="00EE678A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2C4EB2" w:rsidRPr="00EE678A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2C4EB2" w:rsidRPr="00EE678A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2C4EB2" w:rsidRPr="00EE678A">
        <w:rPr>
          <w:rFonts w:ascii="Book Antiqua" w:hAnsi="Book Antiqua"/>
          <w:sz w:val="24"/>
        </w:rPr>
        <w:t>3332-M17-P-00 presentado por la Sra</w:t>
      </w:r>
      <w:r>
        <w:rPr>
          <w:rFonts w:ascii="Book Antiqua" w:hAnsi="Book Antiqua"/>
          <w:sz w:val="24"/>
        </w:rPr>
        <w:t xml:space="preserve">. </w:t>
      </w:r>
      <w:r w:rsidR="002C4EB2" w:rsidRPr="00EE678A">
        <w:rPr>
          <w:rFonts w:ascii="Book Antiqua" w:hAnsi="Book Antiqua"/>
          <w:sz w:val="24"/>
        </w:rPr>
        <w:t>Silvia Fátima Páramo en representación de su madre Sra</w:t>
      </w:r>
      <w:r>
        <w:rPr>
          <w:rFonts w:ascii="Book Antiqua" w:hAnsi="Book Antiqua"/>
          <w:sz w:val="24"/>
        </w:rPr>
        <w:t xml:space="preserve">. </w:t>
      </w:r>
      <w:r w:rsidR="002C4EB2" w:rsidRPr="00EE678A">
        <w:rPr>
          <w:rFonts w:ascii="Book Antiqua" w:hAnsi="Book Antiqua"/>
          <w:sz w:val="24"/>
        </w:rPr>
        <w:t>Nayat Jorge Horaiki de Páramo</w:t>
      </w:r>
      <w:r>
        <w:rPr>
          <w:rFonts w:ascii="Book Antiqua" w:hAnsi="Book Antiqua"/>
          <w:sz w:val="24"/>
        </w:rPr>
        <w:t xml:space="preserve">; </w:t>
      </w:r>
      <w:r w:rsidR="002C4EB2" w:rsidRPr="00EE678A">
        <w:rPr>
          <w:rFonts w:ascii="Book Antiqua" w:hAnsi="Book Antiqua"/>
          <w:sz w:val="24"/>
        </w:rPr>
        <w:t>y</w:t>
      </w:r>
    </w:p>
    <w:p w:rsidR="00EE678A" w:rsidRPr="00EE678A" w:rsidRDefault="00EE678A" w:rsidP="00EE678A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EE678A">
        <w:rPr>
          <w:rFonts w:ascii="Book Antiqua" w:hAnsi="Book Antiqua"/>
          <w:b/>
          <w:sz w:val="24"/>
        </w:rPr>
        <w:t>CONSIDERANDO:</w:t>
      </w:r>
    </w:p>
    <w:p w:rsidR="00C02248" w:rsidRPr="00EE678A" w:rsidRDefault="00EE678A" w:rsidP="00EE678A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D371C9" w:rsidRPr="00EE678A">
        <w:rPr>
          <w:rFonts w:ascii="Book Antiqua" w:hAnsi="Book Antiqua"/>
          <w:sz w:val="24"/>
        </w:rPr>
        <w:t>Que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mediante el mismo se eleva copia del Acta del año 1971 por la cual los Sres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Carlota Rosa del V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Nanterne de Horaiki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Abraham Horaiki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Nayat Horaiki de Páramo y Olga Horaiki de Montero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quienes fueran propietarios de un Inmueble mayor extensión Padrón origen N</w:t>
      </w:r>
      <w:r>
        <w:rPr>
          <w:rFonts w:ascii="Book Antiqua" w:hAnsi="Book Antiqua"/>
          <w:sz w:val="24"/>
        </w:rPr>
        <w:t xml:space="preserve">º </w:t>
      </w:r>
      <w:r w:rsidR="00D371C9" w:rsidRPr="00EE678A">
        <w:rPr>
          <w:rFonts w:ascii="Book Antiqua" w:hAnsi="Book Antiqua"/>
          <w:sz w:val="24"/>
        </w:rPr>
        <w:t>382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250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hoy anulado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Circunscripción I Sec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I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Lámina 1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Parcela 52-c-3</w:t>
      </w:r>
      <w:r>
        <w:rPr>
          <w:rFonts w:ascii="Book Antiqua" w:hAnsi="Book Antiqua"/>
          <w:sz w:val="24"/>
        </w:rPr>
        <w:t xml:space="preserve">; </w:t>
      </w:r>
      <w:r w:rsidR="00D371C9" w:rsidRPr="00EE678A">
        <w:rPr>
          <w:rFonts w:ascii="Book Antiqua" w:hAnsi="Book Antiqua"/>
          <w:sz w:val="24"/>
        </w:rPr>
        <w:t xml:space="preserve">donan a favor de la entonces Comuna Rural de Yerba Buena </w:t>
      </w:r>
      <w:r>
        <w:rPr>
          <w:rFonts w:ascii="Book Antiqua" w:hAnsi="Book Antiqua"/>
          <w:sz w:val="24"/>
        </w:rPr>
        <w:t xml:space="preserve"> (</w:t>
      </w:r>
      <w:r w:rsidR="00D371C9" w:rsidRPr="00EE678A">
        <w:rPr>
          <w:rFonts w:ascii="Book Antiqua" w:hAnsi="Book Antiqua"/>
          <w:sz w:val="24"/>
        </w:rPr>
        <w:t>hoy Municipalidad</w:t>
      </w:r>
      <w:r>
        <w:rPr>
          <w:rFonts w:ascii="Book Antiqua" w:hAnsi="Book Antiqua"/>
          <w:sz w:val="24"/>
        </w:rPr>
        <w:t xml:space="preserve">) </w:t>
      </w:r>
      <w:r w:rsidR="00D371C9" w:rsidRPr="00EE678A">
        <w:rPr>
          <w:rFonts w:ascii="Book Antiqua" w:hAnsi="Book Antiqua"/>
          <w:sz w:val="24"/>
        </w:rPr>
        <w:t xml:space="preserve"> una fracción destinada a calle pública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de 17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32 de frente por un contrafrente de 17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32 en el sentido N-S y 82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15mts De longitud en el sentido E-O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quedando excluido de donación el martillo de 12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00mts Por 33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00mts Que corre de N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a S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hoy remanente anexado el inmueble lindero Este Padrón N</w:t>
      </w:r>
      <w:r>
        <w:rPr>
          <w:rFonts w:ascii="Book Antiqua" w:hAnsi="Book Antiqua"/>
          <w:sz w:val="24"/>
        </w:rPr>
        <w:t xml:space="preserve">º </w:t>
      </w:r>
      <w:r w:rsidR="00D371C9" w:rsidRPr="00EE678A">
        <w:rPr>
          <w:rFonts w:ascii="Book Antiqua" w:hAnsi="Book Antiqua"/>
          <w:sz w:val="24"/>
        </w:rPr>
        <w:t>382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 xml:space="preserve">681 </w:t>
      </w:r>
      <w:r>
        <w:rPr>
          <w:rFonts w:ascii="Book Antiqua" w:hAnsi="Book Antiqua"/>
          <w:sz w:val="24"/>
        </w:rPr>
        <w:t xml:space="preserve"> (</w:t>
      </w:r>
      <w:r w:rsidR="00D371C9" w:rsidRPr="00EE678A">
        <w:rPr>
          <w:rFonts w:ascii="Book Antiqua" w:hAnsi="Book Antiqua"/>
          <w:sz w:val="24"/>
        </w:rPr>
        <w:t>plano 784 Serie F</w:t>
      </w:r>
      <w:r>
        <w:rPr>
          <w:rFonts w:ascii="Book Antiqua" w:hAnsi="Book Antiqua"/>
          <w:sz w:val="24"/>
        </w:rPr>
        <w:t xml:space="preserve">) </w:t>
      </w:r>
    </w:p>
    <w:p w:rsidR="00C02248" w:rsidRPr="00EE678A" w:rsidRDefault="002C4EB2" w:rsidP="00EE678A">
      <w:pPr>
        <w:keepNext/>
        <w:spacing w:after="180" w:line="240" w:lineRule="auto"/>
        <w:rPr>
          <w:rFonts w:ascii="Book Antiqua" w:hAnsi="Book Antiqua"/>
          <w:sz w:val="24"/>
        </w:rPr>
      </w:pPr>
      <w:r w:rsidRPr="00EE678A">
        <w:rPr>
          <w:rFonts w:ascii="Book Antiqua" w:hAnsi="Book Antiqua"/>
          <w:sz w:val="24"/>
        </w:rPr>
        <w:t>Que la entonces Comuna Rural de Yerba Buena ha cumplimentado con el cargo y destino de la donación</w:t>
      </w:r>
      <w:r w:rsidR="00EE678A">
        <w:rPr>
          <w:rFonts w:ascii="Book Antiqua" w:hAnsi="Book Antiqua"/>
          <w:sz w:val="24"/>
        </w:rPr>
        <w:t xml:space="preserve">, </w:t>
      </w:r>
      <w:r w:rsidRPr="00EE678A">
        <w:rPr>
          <w:rFonts w:ascii="Book Antiqua" w:hAnsi="Book Antiqua"/>
          <w:sz w:val="24"/>
        </w:rPr>
        <w:t>por cuanto la calle donada se encuentra abierta y librada al uso público desde el año 1971</w:t>
      </w:r>
      <w:r w:rsidR="00EE678A">
        <w:rPr>
          <w:rFonts w:ascii="Book Antiqua" w:hAnsi="Book Antiqua"/>
          <w:sz w:val="24"/>
        </w:rPr>
        <w:t xml:space="preserve">; </w:t>
      </w:r>
    </w:p>
    <w:p w:rsidR="00C02248" w:rsidRPr="00EE678A" w:rsidRDefault="00D371C9" w:rsidP="00EE678A">
      <w:pPr>
        <w:keepNext/>
        <w:spacing w:after="180" w:line="240" w:lineRule="auto"/>
        <w:rPr>
          <w:rFonts w:ascii="Book Antiqua" w:hAnsi="Book Antiqua"/>
          <w:sz w:val="24"/>
        </w:rPr>
      </w:pPr>
      <w:r w:rsidRPr="00EE678A">
        <w:rPr>
          <w:rFonts w:ascii="Book Antiqua" w:hAnsi="Book Antiqua"/>
          <w:sz w:val="24"/>
        </w:rPr>
        <w:t>Que las medidas reales de la calle</w:t>
      </w:r>
      <w:r w:rsidR="00EE678A">
        <w:rPr>
          <w:rFonts w:ascii="Book Antiqua" w:hAnsi="Book Antiqua"/>
          <w:sz w:val="24"/>
        </w:rPr>
        <w:t xml:space="preserve">, </w:t>
      </w:r>
      <w:r w:rsidRPr="00EE678A">
        <w:rPr>
          <w:rFonts w:ascii="Book Antiqua" w:hAnsi="Book Antiqua"/>
          <w:sz w:val="24"/>
        </w:rPr>
        <w:t>hoy primera cuadra de calle Pringles</w:t>
      </w:r>
      <w:r w:rsidR="00EE678A">
        <w:rPr>
          <w:rFonts w:ascii="Book Antiqua" w:hAnsi="Book Antiqua"/>
          <w:sz w:val="24"/>
        </w:rPr>
        <w:t xml:space="preserve">, </w:t>
      </w:r>
      <w:r w:rsidRPr="00EE678A">
        <w:rPr>
          <w:rFonts w:ascii="Book Antiqua" w:hAnsi="Book Antiqua"/>
          <w:sz w:val="24"/>
        </w:rPr>
        <w:t>según planos aprobados por la Dirección General de Catastro de la Provincia</w:t>
      </w:r>
      <w:r w:rsidR="00EE678A">
        <w:rPr>
          <w:rFonts w:ascii="Book Antiqua" w:hAnsi="Book Antiqua"/>
          <w:sz w:val="24"/>
        </w:rPr>
        <w:t xml:space="preserve">, </w:t>
      </w:r>
      <w:r w:rsidRPr="00EE678A">
        <w:rPr>
          <w:rFonts w:ascii="Book Antiqua" w:hAnsi="Book Antiqua"/>
          <w:sz w:val="24"/>
        </w:rPr>
        <w:t>Planos N</w:t>
      </w:r>
      <w:r w:rsidR="00EE678A">
        <w:rPr>
          <w:rFonts w:ascii="Book Antiqua" w:hAnsi="Book Antiqua"/>
          <w:sz w:val="24"/>
        </w:rPr>
        <w:t xml:space="preserve">º </w:t>
      </w:r>
      <w:r w:rsidRPr="00EE678A">
        <w:rPr>
          <w:rFonts w:ascii="Book Antiqua" w:hAnsi="Book Antiqua"/>
          <w:sz w:val="24"/>
        </w:rPr>
        <w:t>130 Serie B año 1968 y N</w:t>
      </w:r>
      <w:r w:rsidR="00EE678A">
        <w:rPr>
          <w:rFonts w:ascii="Book Antiqua" w:hAnsi="Book Antiqua"/>
          <w:sz w:val="24"/>
        </w:rPr>
        <w:t xml:space="preserve">º </w:t>
      </w:r>
      <w:r w:rsidRPr="00EE678A">
        <w:rPr>
          <w:rFonts w:ascii="Book Antiqua" w:hAnsi="Book Antiqua"/>
          <w:sz w:val="24"/>
        </w:rPr>
        <w:t>784 Serie F Expte</w:t>
      </w:r>
      <w:r w:rsidR="00EE678A">
        <w:rPr>
          <w:rFonts w:ascii="Book Antiqua" w:hAnsi="Book Antiqua"/>
          <w:sz w:val="24"/>
        </w:rPr>
        <w:t xml:space="preserve">. </w:t>
      </w:r>
      <w:r w:rsidRPr="00EE678A">
        <w:rPr>
          <w:rFonts w:ascii="Book Antiqua" w:hAnsi="Book Antiqua"/>
          <w:sz w:val="24"/>
        </w:rPr>
        <w:t>6226-C-72</w:t>
      </w:r>
      <w:r w:rsidR="00EE678A">
        <w:rPr>
          <w:rFonts w:ascii="Book Antiqua" w:hAnsi="Book Antiqua"/>
          <w:sz w:val="24"/>
        </w:rPr>
        <w:t xml:space="preserve">, </w:t>
      </w:r>
      <w:r w:rsidRPr="00EE678A">
        <w:rPr>
          <w:rFonts w:ascii="Book Antiqua" w:hAnsi="Book Antiqua"/>
          <w:sz w:val="24"/>
        </w:rPr>
        <w:t>no concuerdan con las medidas estipuladas en el Acta Folio 149 de donación por cuanto existe un quiebre angular</w:t>
      </w:r>
      <w:r w:rsidR="00EE678A">
        <w:rPr>
          <w:rFonts w:ascii="Book Antiqua" w:hAnsi="Book Antiqua"/>
          <w:sz w:val="24"/>
        </w:rPr>
        <w:t xml:space="preserve">, </w:t>
      </w:r>
      <w:r w:rsidRPr="00EE678A">
        <w:rPr>
          <w:rFonts w:ascii="Book Antiqua" w:hAnsi="Book Antiqua"/>
          <w:sz w:val="24"/>
        </w:rPr>
        <w:t>siendo las mismas según el acto de mensura de 17</w:t>
      </w:r>
      <w:r w:rsidR="00EE678A">
        <w:rPr>
          <w:rFonts w:ascii="Book Antiqua" w:hAnsi="Book Antiqua"/>
          <w:sz w:val="24"/>
        </w:rPr>
        <w:t xml:space="preserve">, </w:t>
      </w:r>
      <w:r w:rsidRPr="00EE678A">
        <w:rPr>
          <w:rFonts w:ascii="Book Antiqua" w:hAnsi="Book Antiqua"/>
          <w:sz w:val="24"/>
        </w:rPr>
        <w:t>32 en el sentido Norte- Sur por 45</w:t>
      </w:r>
      <w:r w:rsidR="00EE678A">
        <w:rPr>
          <w:rFonts w:ascii="Book Antiqua" w:hAnsi="Book Antiqua"/>
          <w:sz w:val="24"/>
        </w:rPr>
        <w:t xml:space="preserve">, </w:t>
      </w:r>
      <w:r w:rsidRPr="00EE678A">
        <w:rPr>
          <w:rFonts w:ascii="Book Antiqua" w:hAnsi="Book Antiqua"/>
          <w:sz w:val="24"/>
        </w:rPr>
        <w:t>48mts y 39</w:t>
      </w:r>
      <w:r w:rsidR="00EE678A">
        <w:rPr>
          <w:rFonts w:ascii="Book Antiqua" w:hAnsi="Book Antiqua"/>
          <w:sz w:val="24"/>
        </w:rPr>
        <w:t xml:space="preserve">, </w:t>
      </w:r>
      <w:r w:rsidRPr="00EE678A">
        <w:rPr>
          <w:rFonts w:ascii="Book Antiqua" w:hAnsi="Book Antiqua"/>
          <w:sz w:val="24"/>
        </w:rPr>
        <w:t>71mts en acera Norte sentido Este-Oeste</w:t>
      </w:r>
      <w:r w:rsidR="00EE678A">
        <w:rPr>
          <w:rFonts w:ascii="Book Antiqua" w:hAnsi="Book Antiqua"/>
          <w:sz w:val="24"/>
        </w:rPr>
        <w:t xml:space="preserve">, </w:t>
      </w:r>
      <w:r w:rsidRPr="00EE678A">
        <w:rPr>
          <w:rFonts w:ascii="Book Antiqua" w:hAnsi="Book Antiqua"/>
          <w:sz w:val="24"/>
        </w:rPr>
        <w:t>y</w:t>
      </w:r>
      <w:r w:rsidR="00EE678A">
        <w:rPr>
          <w:rFonts w:ascii="Book Antiqua" w:hAnsi="Book Antiqua"/>
          <w:sz w:val="24"/>
        </w:rPr>
        <w:t xml:space="preserve">, </w:t>
      </w:r>
      <w:r w:rsidRPr="00EE678A">
        <w:rPr>
          <w:rFonts w:ascii="Book Antiqua" w:hAnsi="Book Antiqua"/>
          <w:sz w:val="24"/>
        </w:rPr>
        <w:t>47</w:t>
      </w:r>
      <w:r w:rsidR="00EE678A">
        <w:rPr>
          <w:rFonts w:ascii="Book Antiqua" w:hAnsi="Book Antiqua"/>
          <w:sz w:val="24"/>
        </w:rPr>
        <w:t xml:space="preserve">, </w:t>
      </w:r>
      <w:r w:rsidRPr="00EE678A">
        <w:rPr>
          <w:rFonts w:ascii="Book Antiqua" w:hAnsi="Book Antiqua"/>
          <w:sz w:val="24"/>
        </w:rPr>
        <w:t>00mts y 35</w:t>
      </w:r>
      <w:r w:rsidR="00EE678A">
        <w:rPr>
          <w:rFonts w:ascii="Book Antiqua" w:hAnsi="Book Antiqua"/>
          <w:sz w:val="24"/>
        </w:rPr>
        <w:t xml:space="preserve">, </w:t>
      </w:r>
      <w:r w:rsidRPr="00EE678A">
        <w:rPr>
          <w:rFonts w:ascii="Book Antiqua" w:hAnsi="Book Antiqua"/>
          <w:sz w:val="24"/>
        </w:rPr>
        <w:t>15mts en acera Sur sentido Este-Oeste</w:t>
      </w:r>
      <w:r w:rsidR="00EE678A">
        <w:rPr>
          <w:rFonts w:ascii="Book Antiqua" w:hAnsi="Book Antiqua"/>
          <w:sz w:val="24"/>
        </w:rPr>
        <w:t xml:space="preserve">; </w:t>
      </w:r>
    </w:p>
    <w:p w:rsidR="00C02248" w:rsidRPr="00EE678A" w:rsidRDefault="002C4EB2" w:rsidP="00EE678A">
      <w:pPr>
        <w:keepNext/>
        <w:spacing w:after="180" w:line="240" w:lineRule="auto"/>
        <w:rPr>
          <w:rFonts w:ascii="Book Antiqua" w:hAnsi="Book Antiqua"/>
          <w:sz w:val="24"/>
        </w:rPr>
      </w:pPr>
      <w:r w:rsidRPr="00EE678A">
        <w:rPr>
          <w:rFonts w:ascii="Book Antiqua" w:hAnsi="Book Antiqua"/>
          <w:sz w:val="24"/>
        </w:rPr>
        <w:t>Que han tomado intervención las áreas competentes</w:t>
      </w:r>
      <w:r w:rsidR="00EE678A">
        <w:rPr>
          <w:rFonts w:ascii="Book Antiqua" w:hAnsi="Book Antiqua"/>
          <w:sz w:val="24"/>
        </w:rPr>
        <w:t xml:space="preserve">, </w:t>
      </w:r>
      <w:r w:rsidRPr="00EE678A">
        <w:rPr>
          <w:rFonts w:ascii="Book Antiqua" w:hAnsi="Book Antiqua"/>
          <w:sz w:val="24"/>
        </w:rPr>
        <w:t>Dirección de Catastro</w:t>
      </w:r>
      <w:r w:rsidR="00EE678A">
        <w:rPr>
          <w:rFonts w:ascii="Book Antiqua" w:hAnsi="Book Antiqua"/>
          <w:sz w:val="24"/>
        </w:rPr>
        <w:t xml:space="preserve">, </w:t>
      </w:r>
      <w:r w:rsidRPr="00EE678A">
        <w:rPr>
          <w:rFonts w:ascii="Book Antiqua" w:hAnsi="Book Antiqua"/>
          <w:sz w:val="24"/>
        </w:rPr>
        <w:t>Edificación y Planeamiento</w:t>
      </w:r>
      <w:r w:rsidR="00EE678A">
        <w:rPr>
          <w:rFonts w:ascii="Book Antiqua" w:hAnsi="Book Antiqua"/>
          <w:sz w:val="24"/>
        </w:rPr>
        <w:t xml:space="preserve">, </w:t>
      </w:r>
      <w:r w:rsidRPr="00EE678A">
        <w:rPr>
          <w:rFonts w:ascii="Book Antiqua" w:hAnsi="Book Antiqua"/>
          <w:sz w:val="24"/>
        </w:rPr>
        <w:t>y la Dirección de Asuntos Jurídicos</w:t>
      </w:r>
      <w:r w:rsidR="00EE678A">
        <w:rPr>
          <w:rFonts w:ascii="Book Antiqua" w:hAnsi="Book Antiqua"/>
          <w:sz w:val="24"/>
        </w:rPr>
        <w:t xml:space="preserve">, </w:t>
      </w:r>
      <w:r w:rsidRPr="00EE678A">
        <w:rPr>
          <w:rFonts w:ascii="Book Antiqua" w:hAnsi="Book Antiqua"/>
          <w:sz w:val="24"/>
        </w:rPr>
        <w:t>quienes conforme a los antecedentes obrantes aconsejan que se debe perfeccionar las actuaciones administrativas</w:t>
      </w:r>
      <w:r w:rsidR="00EE678A">
        <w:rPr>
          <w:rFonts w:ascii="Book Antiqua" w:hAnsi="Book Antiqua"/>
          <w:sz w:val="24"/>
        </w:rPr>
        <w:t xml:space="preserve">, </w:t>
      </w:r>
      <w:r w:rsidRPr="00EE678A">
        <w:rPr>
          <w:rFonts w:ascii="Book Antiqua" w:hAnsi="Book Antiqua"/>
          <w:sz w:val="24"/>
        </w:rPr>
        <w:t>y en consecuencia dictar el instrumento legal de aceptación de donación</w:t>
      </w:r>
      <w:r w:rsidR="00EE678A">
        <w:rPr>
          <w:rFonts w:ascii="Book Antiqua" w:hAnsi="Book Antiqua"/>
          <w:sz w:val="24"/>
        </w:rPr>
        <w:t xml:space="preserve">; </w:t>
      </w:r>
    </w:p>
    <w:p w:rsidR="00C02248" w:rsidRPr="00EE678A" w:rsidRDefault="002C4EB2" w:rsidP="00EE678A">
      <w:pPr>
        <w:keepNext/>
        <w:spacing w:after="180" w:line="240" w:lineRule="auto"/>
        <w:rPr>
          <w:rFonts w:ascii="Book Antiqua" w:hAnsi="Book Antiqua"/>
          <w:sz w:val="24"/>
        </w:rPr>
      </w:pPr>
      <w:r w:rsidRPr="00EE678A">
        <w:rPr>
          <w:rFonts w:ascii="Book Antiqua" w:hAnsi="Book Antiqua"/>
          <w:sz w:val="24"/>
        </w:rPr>
        <w:t>Por ello y en virtud de las facultades que le confiere el Decreto N</w:t>
      </w:r>
      <w:r w:rsidR="00EE678A">
        <w:rPr>
          <w:rFonts w:ascii="Book Antiqua" w:hAnsi="Book Antiqua"/>
          <w:sz w:val="24"/>
        </w:rPr>
        <w:t xml:space="preserve">º </w:t>
      </w:r>
      <w:r w:rsidRPr="00EE678A">
        <w:rPr>
          <w:rFonts w:ascii="Book Antiqua" w:hAnsi="Book Antiqua"/>
          <w:sz w:val="24"/>
        </w:rPr>
        <w:t>822/1 de fecha 19 de Mayo de 2000</w:t>
      </w:r>
      <w:r w:rsidR="00EE678A">
        <w:rPr>
          <w:rFonts w:ascii="Book Antiqua" w:hAnsi="Book Antiqua"/>
          <w:sz w:val="24"/>
        </w:rPr>
        <w:t xml:space="preserve">, </w:t>
      </w:r>
      <w:r w:rsidRPr="00EE678A">
        <w:rPr>
          <w:rFonts w:ascii="Book Antiqua" w:hAnsi="Book Antiqua"/>
          <w:sz w:val="24"/>
        </w:rPr>
        <w:t>emitido por el Poder Ejecutivo Provincial</w:t>
      </w:r>
      <w:r w:rsidR="00EE678A">
        <w:rPr>
          <w:rFonts w:ascii="Book Antiqua" w:hAnsi="Book Antiqua"/>
          <w:sz w:val="24"/>
        </w:rPr>
        <w:t xml:space="preserve">; </w:t>
      </w:r>
    </w:p>
    <w:p w:rsidR="00EE678A" w:rsidRPr="00EE678A" w:rsidRDefault="00EE678A" w:rsidP="00EE678A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EE678A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C02248" w:rsidRPr="00EE678A" w:rsidRDefault="00EE678A" w:rsidP="00EE678A">
      <w:pPr>
        <w:keepNext/>
        <w:spacing w:after="180" w:line="240" w:lineRule="auto"/>
        <w:rPr>
          <w:rFonts w:ascii="Book Antiqua" w:hAnsi="Book Antiqua"/>
          <w:sz w:val="24"/>
        </w:rPr>
      </w:pPr>
      <w:r w:rsidRPr="00EE678A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D371C9" w:rsidRPr="00EE678A">
        <w:rPr>
          <w:rFonts w:ascii="Book Antiqua" w:hAnsi="Book Antiqua"/>
          <w:sz w:val="24"/>
        </w:rPr>
        <w:t xml:space="preserve">ACEPTASE la donación efectuada mediante Acta del 22 de Junio del año 1971 </w:t>
      </w:r>
      <w:r>
        <w:rPr>
          <w:rFonts w:ascii="Book Antiqua" w:hAnsi="Book Antiqua"/>
          <w:sz w:val="24"/>
        </w:rPr>
        <w:t xml:space="preserve"> (</w:t>
      </w:r>
      <w:r w:rsidR="00D371C9" w:rsidRPr="00EE678A">
        <w:rPr>
          <w:rFonts w:ascii="Book Antiqua" w:hAnsi="Book Antiqua"/>
          <w:sz w:val="24"/>
        </w:rPr>
        <w:t>Folio 149</w:t>
      </w:r>
      <w:r>
        <w:rPr>
          <w:rFonts w:ascii="Book Antiqua" w:hAnsi="Book Antiqua"/>
          <w:sz w:val="24"/>
        </w:rPr>
        <w:t xml:space="preserve">) </w:t>
      </w:r>
      <w:r w:rsidR="00D371C9" w:rsidRPr="00EE678A">
        <w:rPr>
          <w:rFonts w:ascii="Book Antiqua" w:hAnsi="Book Antiqua"/>
          <w:sz w:val="24"/>
        </w:rPr>
        <w:t xml:space="preserve"> por los Sres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Carlota Rosa del Valle Nanterne de Horaiki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L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D371C9" w:rsidRPr="00EE678A">
        <w:rPr>
          <w:rFonts w:ascii="Book Antiqua" w:hAnsi="Book Antiqua"/>
          <w:sz w:val="24"/>
        </w:rPr>
        <w:t>8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920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089</w:t>
      </w:r>
      <w:r>
        <w:rPr>
          <w:rFonts w:ascii="Book Antiqua" w:hAnsi="Book Antiqua"/>
          <w:sz w:val="24"/>
        </w:rPr>
        <w:t xml:space="preserve">; </w:t>
      </w:r>
      <w:r w:rsidR="00D371C9" w:rsidRPr="00EE678A">
        <w:rPr>
          <w:rFonts w:ascii="Book Antiqua" w:hAnsi="Book Antiqua"/>
          <w:sz w:val="24"/>
        </w:rPr>
        <w:t>Abraham Horaiki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I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D371C9" w:rsidRPr="00EE678A">
        <w:rPr>
          <w:rFonts w:ascii="Book Antiqua" w:hAnsi="Book Antiqua"/>
          <w:sz w:val="24"/>
        </w:rPr>
        <w:t>106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587</w:t>
      </w:r>
      <w:r>
        <w:rPr>
          <w:rFonts w:ascii="Book Antiqua" w:hAnsi="Book Antiqua"/>
          <w:sz w:val="24"/>
        </w:rPr>
        <w:t xml:space="preserve">; </w:t>
      </w:r>
      <w:r w:rsidR="00D371C9" w:rsidRPr="00EE678A">
        <w:rPr>
          <w:rFonts w:ascii="Book Antiqua" w:hAnsi="Book Antiqua"/>
          <w:sz w:val="24"/>
        </w:rPr>
        <w:t>Nayat Horaiki de Páramo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I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D371C9" w:rsidRPr="00EE678A">
        <w:rPr>
          <w:rFonts w:ascii="Book Antiqua" w:hAnsi="Book Antiqua"/>
          <w:sz w:val="24"/>
        </w:rPr>
        <w:t>197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706 y Olga Horaiki de Montero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I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D371C9" w:rsidRPr="00EE678A">
        <w:rPr>
          <w:rFonts w:ascii="Book Antiqua" w:hAnsi="Book Antiqua"/>
          <w:sz w:val="24"/>
        </w:rPr>
        <w:t>197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705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 xml:space="preserve">todos con domicilio en Camino del Perú y calle Pringles </w:t>
      </w:r>
      <w:r>
        <w:rPr>
          <w:rFonts w:ascii="Book Antiqua" w:hAnsi="Book Antiqua"/>
          <w:sz w:val="24"/>
        </w:rPr>
        <w:t xml:space="preserve"> (</w:t>
      </w:r>
      <w:r w:rsidR="00D371C9" w:rsidRPr="00EE678A">
        <w:rPr>
          <w:rFonts w:ascii="Book Antiqua" w:hAnsi="Book Antiqua"/>
          <w:sz w:val="24"/>
        </w:rPr>
        <w:t>Yerba Buena</w:t>
      </w:r>
      <w:r>
        <w:rPr>
          <w:rFonts w:ascii="Book Antiqua" w:hAnsi="Book Antiqua"/>
          <w:sz w:val="24"/>
        </w:rPr>
        <w:t xml:space="preserve">) </w:t>
      </w:r>
      <w:r w:rsidR="00D371C9" w:rsidRPr="00EE678A">
        <w:rPr>
          <w:rFonts w:ascii="Book Antiqua" w:hAnsi="Book Antiqua"/>
          <w:sz w:val="24"/>
        </w:rPr>
        <w:t xml:space="preserve"> de una fracción de </w:t>
      </w:r>
      <w:r w:rsidR="00D371C9" w:rsidRPr="00EE678A">
        <w:rPr>
          <w:rFonts w:ascii="Book Antiqua" w:hAnsi="Book Antiqua"/>
          <w:sz w:val="24"/>
        </w:rPr>
        <w:lastRenderedPageBreak/>
        <w:t>terreno cuyas medidas son 17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32 de frente por un contrafrente de 17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32 en el sentido N-S y 82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15mts De longitud en el sentido E-O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que fuera un inmueble mayor extensión Padrón N</w:t>
      </w:r>
      <w:r>
        <w:rPr>
          <w:rFonts w:ascii="Book Antiqua" w:hAnsi="Book Antiqua"/>
          <w:sz w:val="24"/>
        </w:rPr>
        <w:t xml:space="preserve">º </w:t>
      </w:r>
      <w:r w:rsidR="00D371C9" w:rsidRPr="00EE678A">
        <w:rPr>
          <w:rFonts w:ascii="Book Antiqua" w:hAnsi="Book Antiqua"/>
          <w:sz w:val="24"/>
        </w:rPr>
        <w:t>382</w:t>
      </w:r>
      <w:r>
        <w:rPr>
          <w:rFonts w:ascii="Book Antiqua" w:hAnsi="Book Antiqua"/>
          <w:sz w:val="24"/>
        </w:rPr>
        <w:t xml:space="preserve">. </w:t>
      </w:r>
      <w:r w:rsidR="00D371C9" w:rsidRPr="00EE678A">
        <w:rPr>
          <w:rFonts w:ascii="Book Antiqua" w:hAnsi="Book Antiqua"/>
          <w:sz w:val="24"/>
        </w:rPr>
        <w:t>250</w:t>
      </w:r>
      <w:r>
        <w:rPr>
          <w:rFonts w:ascii="Book Antiqua" w:hAnsi="Book Antiqua"/>
          <w:sz w:val="24"/>
        </w:rPr>
        <w:t xml:space="preserve">, </w:t>
      </w:r>
      <w:r w:rsidR="00D371C9" w:rsidRPr="00EE678A">
        <w:rPr>
          <w:rFonts w:ascii="Book Antiqua" w:hAnsi="Book Antiqua"/>
          <w:sz w:val="24"/>
        </w:rPr>
        <w:t>hoy anulado</w:t>
      </w:r>
      <w:r>
        <w:rPr>
          <w:rFonts w:ascii="Book Antiqua" w:hAnsi="Book Antiqua"/>
          <w:sz w:val="24"/>
        </w:rPr>
        <w:t xml:space="preserve">. </w:t>
      </w:r>
    </w:p>
    <w:p w:rsidR="006F2884" w:rsidRPr="00EE678A" w:rsidRDefault="00EE678A" w:rsidP="00EE678A">
      <w:pPr>
        <w:keepNext/>
        <w:spacing w:after="180" w:line="240" w:lineRule="auto"/>
        <w:rPr>
          <w:rFonts w:ascii="Book Antiqua" w:hAnsi="Book Antiqua"/>
          <w:sz w:val="24"/>
        </w:rPr>
      </w:pPr>
      <w:r w:rsidRPr="00EE678A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EE678A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EE678A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EE678A" w:rsidSect="00EE678A">
      <w:footerReference w:type="default" r:id="rId7"/>
      <w:pgSz w:w="11906" w:h="16838"/>
      <w:pgMar w:top="1417" w:right="1134" w:bottom="1134" w:left="1701" w:header="709" w:footer="709" w:gutter="0"/>
      <w:pgNumType w:start="103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2A6D" w:rsidRDefault="000E2A6D" w:rsidP="000E2A6D">
      <w:pPr>
        <w:spacing w:after="0" w:line="240" w:lineRule="auto"/>
      </w:pPr>
      <w:r>
        <w:separator/>
      </w:r>
    </w:p>
  </w:endnote>
  <w:endnote w:type="continuationSeparator" w:id="0">
    <w:p w:rsidR="000E2A6D" w:rsidRDefault="000E2A6D" w:rsidP="000E2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A6D" w:rsidRPr="00EC037D" w:rsidRDefault="000E2A6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2A6D" w:rsidRDefault="000E2A6D" w:rsidP="000E2A6D">
      <w:pPr>
        <w:spacing w:after="0" w:line="240" w:lineRule="auto"/>
      </w:pPr>
      <w:r>
        <w:separator/>
      </w:r>
    </w:p>
  </w:footnote>
  <w:footnote w:type="continuationSeparator" w:id="0">
    <w:p w:rsidR="000E2A6D" w:rsidRDefault="000E2A6D" w:rsidP="000E2A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1131A"/>
    <w:rsid w:val="00010085"/>
    <w:rsid w:val="000776C1"/>
    <w:rsid w:val="00081956"/>
    <w:rsid w:val="000B186A"/>
    <w:rsid w:val="000D6F58"/>
    <w:rsid w:val="000E2A6D"/>
    <w:rsid w:val="00125341"/>
    <w:rsid w:val="001A4CC2"/>
    <w:rsid w:val="001A5BF9"/>
    <w:rsid w:val="001A71A3"/>
    <w:rsid w:val="001C5D27"/>
    <w:rsid w:val="0021131A"/>
    <w:rsid w:val="00222916"/>
    <w:rsid w:val="002C4EB2"/>
    <w:rsid w:val="002D575E"/>
    <w:rsid w:val="002F02BD"/>
    <w:rsid w:val="00332B6E"/>
    <w:rsid w:val="003347D2"/>
    <w:rsid w:val="00344F42"/>
    <w:rsid w:val="003A6535"/>
    <w:rsid w:val="003B118E"/>
    <w:rsid w:val="003E657F"/>
    <w:rsid w:val="004C7534"/>
    <w:rsid w:val="004D135F"/>
    <w:rsid w:val="004F5620"/>
    <w:rsid w:val="005952EA"/>
    <w:rsid w:val="00597BA3"/>
    <w:rsid w:val="00682930"/>
    <w:rsid w:val="00685BB2"/>
    <w:rsid w:val="006B479C"/>
    <w:rsid w:val="006F2884"/>
    <w:rsid w:val="00752AD1"/>
    <w:rsid w:val="00790DA7"/>
    <w:rsid w:val="007B73E1"/>
    <w:rsid w:val="007D6515"/>
    <w:rsid w:val="007E6ABD"/>
    <w:rsid w:val="007F1AB9"/>
    <w:rsid w:val="00823031"/>
    <w:rsid w:val="0087046F"/>
    <w:rsid w:val="008A44A5"/>
    <w:rsid w:val="008E74FC"/>
    <w:rsid w:val="0093450A"/>
    <w:rsid w:val="00985DF9"/>
    <w:rsid w:val="00994DB1"/>
    <w:rsid w:val="00A1103D"/>
    <w:rsid w:val="00A703B2"/>
    <w:rsid w:val="00A72621"/>
    <w:rsid w:val="00A846D8"/>
    <w:rsid w:val="00B00C3F"/>
    <w:rsid w:val="00B479D2"/>
    <w:rsid w:val="00B71122"/>
    <w:rsid w:val="00B923D8"/>
    <w:rsid w:val="00BB2ED4"/>
    <w:rsid w:val="00BD1EBF"/>
    <w:rsid w:val="00C02248"/>
    <w:rsid w:val="00C049C7"/>
    <w:rsid w:val="00C51D80"/>
    <w:rsid w:val="00C56689"/>
    <w:rsid w:val="00C82AF5"/>
    <w:rsid w:val="00CE1123"/>
    <w:rsid w:val="00D371C9"/>
    <w:rsid w:val="00D544E1"/>
    <w:rsid w:val="00D7110F"/>
    <w:rsid w:val="00DE3713"/>
    <w:rsid w:val="00E34AE4"/>
    <w:rsid w:val="00E47BB3"/>
    <w:rsid w:val="00E928EB"/>
    <w:rsid w:val="00EB752B"/>
    <w:rsid w:val="00EC037D"/>
    <w:rsid w:val="00EC632D"/>
    <w:rsid w:val="00EE678A"/>
    <w:rsid w:val="00EF7862"/>
    <w:rsid w:val="00F04D1B"/>
    <w:rsid w:val="00F85A74"/>
    <w:rsid w:val="00FE7D19"/>
    <w:rsid w:val="00FF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7432F5-BD0F-49CD-BC24-2D385E807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E2A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E2A6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E2A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E2A6D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7</TotalTime>
  <Pages>2</Pages>
  <Words>442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2017-10-04T15:16:00Z</cp:lastPrinted>
  <dcterms:created xsi:type="dcterms:W3CDTF">2017-03-16T22:00:00Z</dcterms:created>
  <dcterms:modified xsi:type="dcterms:W3CDTF">2018-07-06T12:59:00Z</dcterms:modified>
</cp:coreProperties>
</file>