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1E9E" w:rsidRPr="003A1E9E" w:rsidRDefault="003A1E9E" w:rsidP="003A1E9E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3A1E9E">
        <w:rPr>
          <w:rFonts w:ascii="Book Antiqua" w:hAnsi="Book Antiqua"/>
          <w:bCs/>
          <w:lang w:val="es-AR"/>
        </w:rPr>
        <w:t>Yerba Buena, 26 de Noviembre de 2009</w:t>
      </w:r>
    </w:p>
    <w:p w:rsidR="003A1E9E" w:rsidRPr="003A1E9E" w:rsidRDefault="003A1E9E" w:rsidP="003A1E9E">
      <w:pPr>
        <w:pStyle w:val="Sangra2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3A1E9E">
        <w:rPr>
          <w:rFonts w:ascii="Book Antiqua" w:hAnsi="Book Antiqua"/>
          <w:b/>
          <w:bCs/>
          <w:lang w:val="es-AR"/>
        </w:rPr>
        <w:t>ORDENANZA Nº 1726</w:t>
      </w:r>
    </w:p>
    <w:p w:rsidR="003A1E9E" w:rsidRPr="003A1E9E" w:rsidRDefault="003A1E9E" w:rsidP="003A1E9E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3A1E9E">
        <w:rPr>
          <w:rFonts w:ascii="Book Antiqua" w:hAnsi="Book Antiqua"/>
          <w:b/>
        </w:rPr>
        <w:t>VISTO:</w:t>
      </w:r>
    </w:p>
    <w:p w:rsidR="000D3A79" w:rsidRPr="003A1E9E" w:rsidRDefault="003A1E9E" w:rsidP="003A1E9E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2101B0" w:rsidRPr="003A1E9E">
        <w:rPr>
          <w:rFonts w:ascii="Book Antiqua" w:hAnsi="Book Antiqua"/>
        </w:rPr>
        <w:t>El Expediente 141-Y-2007</w:t>
      </w:r>
      <w:r>
        <w:rPr>
          <w:rFonts w:ascii="Book Antiqua" w:hAnsi="Book Antiqua"/>
        </w:rPr>
        <w:t xml:space="preserve">, </w:t>
      </w:r>
      <w:r w:rsidR="002101B0" w:rsidRPr="003A1E9E">
        <w:rPr>
          <w:rFonts w:ascii="Book Antiqua" w:hAnsi="Book Antiqua"/>
        </w:rPr>
        <w:t>y su agregado Expediente N</w:t>
      </w:r>
      <w:r>
        <w:rPr>
          <w:rFonts w:ascii="Book Antiqua" w:hAnsi="Book Antiqua"/>
        </w:rPr>
        <w:t xml:space="preserve">º </w:t>
      </w:r>
      <w:r w:rsidR="002101B0" w:rsidRPr="003A1E9E">
        <w:rPr>
          <w:rFonts w:ascii="Book Antiqua" w:hAnsi="Book Antiqua"/>
        </w:rPr>
        <w:t>192-Y-2009</w:t>
      </w:r>
      <w:r>
        <w:rPr>
          <w:rFonts w:ascii="Book Antiqua" w:hAnsi="Book Antiqua"/>
        </w:rPr>
        <w:t xml:space="preserve">. </w:t>
      </w:r>
      <w:r w:rsidR="002101B0" w:rsidRPr="003A1E9E">
        <w:rPr>
          <w:rFonts w:ascii="Book Antiqua" w:hAnsi="Book Antiqua"/>
        </w:rPr>
        <w:t>Ref</w:t>
      </w:r>
      <w:r>
        <w:rPr>
          <w:rFonts w:ascii="Book Antiqua" w:hAnsi="Book Antiqua"/>
        </w:rPr>
        <w:t xml:space="preserve">. </w:t>
      </w:r>
      <w:r w:rsidR="002101B0" w:rsidRPr="003A1E9E">
        <w:rPr>
          <w:rFonts w:ascii="Book Antiqua" w:hAnsi="Book Antiqua"/>
        </w:rPr>
        <w:t>Convenio Plan Alimentario Provincial y la Municipalidad de Yerba Buena</w:t>
      </w:r>
      <w:r>
        <w:rPr>
          <w:rFonts w:ascii="Book Antiqua" w:hAnsi="Book Antiqua"/>
        </w:rPr>
        <w:t xml:space="preserve">. </w:t>
      </w:r>
    </w:p>
    <w:p w:rsidR="003A1E9E" w:rsidRPr="003A1E9E" w:rsidRDefault="003A1E9E" w:rsidP="003A1E9E">
      <w:pPr>
        <w:keepNext/>
        <w:spacing w:before="240" w:after="60"/>
        <w:rPr>
          <w:rFonts w:ascii="Book Antiqua" w:hAnsi="Book Antiqua"/>
          <w:b/>
        </w:rPr>
      </w:pPr>
      <w:r w:rsidRPr="003A1E9E">
        <w:rPr>
          <w:rFonts w:ascii="Book Antiqua" w:hAnsi="Book Antiqua"/>
          <w:b/>
        </w:rPr>
        <w:t>CONSIDERANDO:</w:t>
      </w:r>
    </w:p>
    <w:p w:rsidR="000D3A79" w:rsidRPr="003A1E9E" w:rsidRDefault="003A1E9E" w:rsidP="003A1E9E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2101B0" w:rsidRPr="003A1E9E">
        <w:rPr>
          <w:rFonts w:ascii="Book Antiqua" w:hAnsi="Book Antiqua"/>
          <w:bCs/>
        </w:rPr>
        <w:t>Que</w:t>
      </w:r>
      <w:r w:rsidR="00EB13F2" w:rsidRPr="003A1E9E">
        <w:rPr>
          <w:rFonts w:ascii="Book Antiqua" w:hAnsi="Book Antiqua"/>
          <w:bCs/>
        </w:rPr>
        <w:t xml:space="preserve"> </w:t>
      </w:r>
      <w:r w:rsidR="002101B0" w:rsidRPr="003A1E9E">
        <w:rPr>
          <w:rFonts w:ascii="Book Antiqua" w:hAnsi="Book Antiqua"/>
        </w:rPr>
        <w:t>el Convenio propuesto tiene por objeto beneficiar a un amplio sector de escasos recursos con sus tres prestaciones principales módulos alimentarios</w:t>
      </w:r>
      <w:r>
        <w:rPr>
          <w:rFonts w:ascii="Book Antiqua" w:hAnsi="Book Antiqua"/>
        </w:rPr>
        <w:t xml:space="preserve">, </w:t>
      </w:r>
      <w:r w:rsidR="002101B0" w:rsidRPr="003A1E9E">
        <w:rPr>
          <w:rFonts w:ascii="Book Antiqua" w:hAnsi="Book Antiqua"/>
        </w:rPr>
        <w:t>financiamiento de comedores y entrega de leche</w:t>
      </w:r>
      <w:r>
        <w:rPr>
          <w:rFonts w:ascii="Book Antiqua" w:hAnsi="Book Antiqua"/>
        </w:rPr>
        <w:t xml:space="preserve">, </w:t>
      </w:r>
      <w:r w:rsidR="002101B0" w:rsidRPr="003A1E9E">
        <w:rPr>
          <w:rFonts w:ascii="Book Antiqua" w:hAnsi="Book Antiqua"/>
        </w:rPr>
        <w:t>teniendo nuestro Municipio un cupo asignado basado en la cantidad de hogares y a la pobreza e indigencia de cada una de las jurisdicciones</w:t>
      </w:r>
      <w:r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  <w:bCs/>
        </w:rPr>
        <w:t>Que</w:t>
      </w:r>
      <w:r w:rsidRPr="003A1E9E">
        <w:rPr>
          <w:rFonts w:ascii="Book Antiqua" w:hAnsi="Book Antiqua"/>
        </w:rPr>
        <w:t xml:space="preserve"> resulta necesario la implementación del Programa en zonas de alta vulnerabilidad social como ex Vía Norte y Sur</w:t>
      </w:r>
      <w:r w:rsidR="000D3A79" w:rsidRPr="003A1E9E">
        <w:rPr>
          <w:rFonts w:ascii="Book Antiqua" w:hAnsi="Book Antiqua"/>
        </w:rPr>
        <w:t xml:space="preserve"> </w:t>
      </w:r>
      <w:r w:rsidR="003A1E9E">
        <w:rPr>
          <w:rFonts w:ascii="Book Antiqua" w:hAnsi="Book Antiqua"/>
        </w:rPr>
        <w:t xml:space="preserve"> (</w:t>
      </w:r>
      <w:r w:rsidRPr="003A1E9E">
        <w:rPr>
          <w:rFonts w:ascii="Book Antiqua" w:hAnsi="Book Antiqua"/>
        </w:rPr>
        <w:t>San José</w:t>
      </w:r>
      <w:r w:rsidR="003A1E9E">
        <w:rPr>
          <w:rFonts w:ascii="Book Antiqua" w:hAnsi="Book Antiqua"/>
        </w:rPr>
        <w:t xml:space="preserve">) </w:t>
      </w:r>
      <w:r w:rsidR="000D3A79" w:rsidRPr="003A1E9E">
        <w:rPr>
          <w:rFonts w:ascii="Book Antiqua" w:hAnsi="Book Antiqua"/>
        </w:rPr>
        <w:t xml:space="preserve"> </w:t>
      </w:r>
      <w:r w:rsidRPr="003A1E9E">
        <w:rPr>
          <w:rFonts w:ascii="Book Antiqua" w:hAnsi="Book Antiqua"/>
        </w:rPr>
        <w:t>Barrio San Eduardo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Barrio La Esperanza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Barrio Aconquija</w:t>
      </w:r>
      <w:r w:rsidR="000D3A79" w:rsidRPr="003A1E9E">
        <w:rPr>
          <w:rFonts w:ascii="Book Antiqua" w:hAnsi="Book Antiqua"/>
        </w:rPr>
        <w:t xml:space="preserve"> </w:t>
      </w:r>
      <w:r w:rsidR="003A1E9E">
        <w:rPr>
          <w:rFonts w:ascii="Book Antiqua" w:hAnsi="Book Antiqua"/>
        </w:rPr>
        <w:t xml:space="preserve"> (</w:t>
      </w:r>
      <w:r w:rsidRPr="003A1E9E">
        <w:rPr>
          <w:rFonts w:ascii="Book Antiqua" w:hAnsi="Book Antiqua"/>
        </w:rPr>
        <w:t>La Olla</w:t>
      </w:r>
      <w:r w:rsidR="003A1E9E">
        <w:rPr>
          <w:rFonts w:ascii="Book Antiqua" w:hAnsi="Book Antiqua"/>
        </w:rPr>
        <w:t xml:space="preserve">) </w:t>
      </w:r>
      <w:r w:rsidR="000D3A79" w:rsidRPr="003A1E9E">
        <w:rPr>
          <w:rFonts w:ascii="Book Antiqua" w:hAnsi="Book Antiqua"/>
        </w:rPr>
        <w:t xml:space="preserve"> </w:t>
      </w:r>
      <w:r w:rsidRPr="003A1E9E">
        <w:rPr>
          <w:rFonts w:ascii="Book Antiqua" w:hAnsi="Book Antiqua"/>
        </w:rPr>
        <w:t>Barrio Dos de Septiembre entre otras focalizadas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prioriza la atención de familias con NBI de tres o más hijos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adultos mayores de 60 años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familias con uno o más hijos discapacitados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a los cuales le permitiría cubrir en parte las necesidades que su realidad socioeconómica les plantea a diario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  <w:bCs/>
        </w:rPr>
        <w:t>Que</w:t>
      </w:r>
      <w:r w:rsidR="00EB13F2" w:rsidRPr="003A1E9E">
        <w:rPr>
          <w:rFonts w:ascii="Book Antiqua" w:hAnsi="Book Antiqua"/>
          <w:bCs/>
        </w:rPr>
        <w:t xml:space="preserve"> </w:t>
      </w:r>
      <w:r w:rsidRPr="003A1E9E">
        <w:rPr>
          <w:rFonts w:ascii="Book Antiqua" w:hAnsi="Book Antiqua"/>
        </w:rPr>
        <w:t>dicho Plan se ejecutaría primeramente con Ticket Alimentario para luego ser reemplazado bajo la modalidad de Tarjetas Magnéticas CABAL recargable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agilizando su cobro a los beneficiarios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monto que varía de acuerdo si el titular es beneficiario de un Plan Social o no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Con dicha tarjeta los beneficiarios podrán seleccionar y adquirir los comestibles que ellos estimen imprescindibles para la alimentación familiar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  <w:bCs/>
        </w:rPr>
        <w:t>Que</w:t>
      </w:r>
      <w:r w:rsidRPr="003A1E9E">
        <w:rPr>
          <w:rFonts w:ascii="Book Antiqua" w:hAnsi="Book Antiqua"/>
        </w:rPr>
        <w:t xml:space="preserve"> la Secretaría de Políticas Sociales de Yerba Buena interviene en el manejo administrativo de las tarjetas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informando algún cambio de datos que pudieran surgir de los beneficiarios al MDS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organismo ejecutor de los fondos nacionales</w:t>
      </w:r>
      <w:r w:rsidR="003A1E9E">
        <w:rPr>
          <w:rFonts w:ascii="Book Antiqua" w:hAnsi="Book Antiqua"/>
        </w:rPr>
        <w:t xml:space="preserve">. </w:t>
      </w:r>
    </w:p>
    <w:p w:rsidR="006C7B88" w:rsidRPr="003A1E9E" w:rsidRDefault="003A1E9E" w:rsidP="003A1E9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3A1E9E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0D3A79" w:rsidRPr="003A1E9E" w:rsidRDefault="003A1E9E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2101B0" w:rsidRPr="003A1E9E">
        <w:rPr>
          <w:rFonts w:ascii="Book Antiqua" w:hAnsi="Book Antiqua"/>
        </w:rPr>
        <w:t>APRUEBASE el Convenio de Secretaría General de Políticas Sociales de la Provincia</w:t>
      </w:r>
      <w:r w:rsidR="000D3A79" w:rsidRPr="003A1E9E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2101B0" w:rsidRPr="003A1E9E">
        <w:rPr>
          <w:rFonts w:ascii="Book Antiqua" w:hAnsi="Book Antiqua"/>
        </w:rPr>
        <w:t>Plan Alimentario Nacional</w:t>
      </w:r>
      <w:r>
        <w:rPr>
          <w:rFonts w:ascii="Book Antiqua" w:hAnsi="Book Antiqua"/>
        </w:rPr>
        <w:t xml:space="preserve">) </w:t>
      </w:r>
      <w:r w:rsidR="000D3A79" w:rsidRPr="003A1E9E">
        <w:rPr>
          <w:rFonts w:ascii="Book Antiqua" w:hAnsi="Book Antiqua"/>
        </w:rPr>
        <w:t xml:space="preserve"> </w:t>
      </w:r>
      <w:r w:rsidR="002101B0" w:rsidRPr="003A1E9E">
        <w:rPr>
          <w:rFonts w:ascii="Book Antiqua" w:hAnsi="Book Antiqua"/>
        </w:rPr>
        <w:t>con el Departamento Ejecutivo Municipal de Yerba Buena</w:t>
      </w:r>
      <w:r>
        <w:rPr>
          <w:rFonts w:ascii="Book Antiqua" w:hAnsi="Book Antiqua"/>
        </w:rPr>
        <w:t xml:space="preserve">, </w:t>
      </w:r>
      <w:r w:rsidR="002101B0" w:rsidRPr="003A1E9E">
        <w:rPr>
          <w:rFonts w:ascii="Book Antiqua" w:hAnsi="Book Antiqua"/>
        </w:rPr>
        <w:t>que forma parte de la presente</w:t>
      </w:r>
      <w:r>
        <w:rPr>
          <w:rFonts w:ascii="Book Antiqua" w:hAnsi="Book Antiqua"/>
        </w:rPr>
        <w:t xml:space="preserve">, </w:t>
      </w:r>
      <w:r w:rsidR="002101B0" w:rsidRPr="003A1E9E">
        <w:rPr>
          <w:rFonts w:ascii="Book Antiqua" w:hAnsi="Book Antiqua"/>
        </w:rPr>
        <w:t>como ANEXO I</w:t>
      </w:r>
      <w:r>
        <w:rPr>
          <w:rFonts w:ascii="Book Antiqua" w:hAnsi="Book Antiqua"/>
        </w:rPr>
        <w:t xml:space="preserve">. </w:t>
      </w:r>
    </w:p>
    <w:p w:rsidR="0053409A" w:rsidRPr="003A1E9E" w:rsidRDefault="003A1E9E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2101B0" w:rsidRPr="003A1E9E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2101B0" w:rsidRPr="003A1E9E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p w:rsidR="003A1E9E" w:rsidRPr="003A1E9E" w:rsidRDefault="0053409A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br w:type="page"/>
      </w:r>
    </w:p>
    <w:p w:rsidR="006C7B88" w:rsidRPr="003A1E9E" w:rsidRDefault="0053409A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ANEXO I</w:t>
      </w:r>
    </w:p>
    <w:p w:rsidR="00060906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CONVENIO</w:t>
      </w:r>
    </w:p>
    <w:p w:rsidR="006C7B88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PLAN ALIMENTARIO PROVINCIAL</w:t>
      </w:r>
    </w:p>
    <w:p w:rsidR="003A1E9E" w:rsidRPr="003A1E9E" w:rsidRDefault="0053409A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Entre la SECRETARIA GENERAL DE POLITICAS SOCIALES de la Provincia de Tucumán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con domicilio en calle Las Piedras N</w:t>
      </w:r>
      <w:r w:rsidR="003A1E9E">
        <w:rPr>
          <w:rFonts w:ascii="Book Antiqua" w:hAnsi="Book Antiqua"/>
        </w:rPr>
        <w:t xml:space="preserve">º </w:t>
      </w:r>
      <w:r w:rsidRPr="003A1E9E">
        <w:rPr>
          <w:rFonts w:ascii="Book Antiqua" w:hAnsi="Book Antiqua"/>
        </w:rPr>
        <w:t>530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6</w:t>
      </w:r>
      <w:r w:rsidR="003A1E9E">
        <w:rPr>
          <w:rFonts w:ascii="Book Antiqua" w:hAnsi="Book Antiqua"/>
        </w:rPr>
        <w:t xml:space="preserve">º </w:t>
      </w:r>
      <w:r w:rsidRPr="003A1E9E">
        <w:rPr>
          <w:rFonts w:ascii="Book Antiqua" w:hAnsi="Book Antiqua"/>
        </w:rPr>
        <w:t>piso de esta ciudad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representada en este acto por su titular Prof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Beatriz Graciela Mirkin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en adelante LA SECRETARIA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por una parte</w:t>
      </w:r>
      <w:r w:rsidR="003A1E9E">
        <w:rPr>
          <w:rFonts w:ascii="Book Antiqua" w:hAnsi="Book Antiqua"/>
        </w:rPr>
        <w:t xml:space="preserve">; </w:t>
      </w:r>
      <w:r w:rsidRPr="003A1E9E">
        <w:rPr>
          <w:rFonts w:ascii="Book Antiqua" w:hAnsi="Book Antiqua"/>
        </w:rPr>
        <w:t>y por la otra la MUNICIPALIDAD DE YERBA BUENA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representada en este acto por su titular Ing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Roberto Jorge MARTINEZ ZAVALIA</w:t>
      </w:r>
      <w:r w:rsidR="003A1E9E">
        <w:rPr>
          <w:rFonts w:ascii="Book Antiqua" w:hAnsi="Book Antiqua"/>
        </w:rPr>
        <w:t>, D.N.I.</w:t>
      </w:r>
      <w:r w:rsidRPr="003A1E9E">
        <w:rPr>
          <w:rFonts w:ascii="Book Antiqua" w:hAnsi="Book Antiqua"/>
        </w:rPr>
        <w:t>N</w:t>
      </w:r>
      <w:r w:rsidR="003A1E9E">
        <w:rPr>
          <w:rFonts w:ascii="Book Antiqua" w:hAnsi="Book Antiqua"/>
        </w:rPr>
        <w:t xml:space="preserve">º </w:t>
      </w:r>
      <w:r w:rsidRPr="003A1E9E">
        <w:rPr>
          <w:rFonts w:ascii="Book Antiqua" w:hAnsi="Book Antiqua"/>
        </w:rPr>
        <w:t>12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869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334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en adelante EL MUNICIPIO</w:t>
      </w:r>
      <w:r w:rsidR="003A1E9E">
        <w:rPr>
          <w:rFonts w:ascii="Book Antiqua" w:hAnsi="Book Antiqua"/>
        </w:rPr>
        <w:t xml:space="preserve">; </w:t>
      </w:r>
      <w:r w:rsidRPr="003A1E9E">
        <w:rPr>
          <w:rFonts w:ascii="Book Antiqua" w:hAnsi="Book Antiqua"/>
        </w:rPr>
        <w:t>acuerdan a celebrar el presente Convenio el que se regirá por las siguientes cláusulas</w:t>
      </w:r>
      <w:r w:rsidR="003A1E9E">
        <w:rPr>
          <w:rFonts w:ascii="Book Antiqua" w:hAnsi="Book Antiqua"/>
        </w:rPr>
        <w:t xml:space="preserve">: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I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EL MUNICIPIO y LA SECRETARIA son responsables conforme el presente convenio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de la implementación del Plan Alimentario Provincial en sus tres presentaciones principales módulos alimentarios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financiamiento de comedores y entrega de leche y del cumplimiento de los objetivos planteados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en sus respectivos jurisdicciones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II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EL MUNICIPIO se compromete a proporcionar el personal y la infraestructura necesaria para el cumplimiento de las actividades relativas al Plan Alimentario Provincial que se detallan en el presente convenio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así como a cumplir con los trámites administrativos y de control acordados para la mayor transparencia de los actos de gobierno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III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LA SECRETARIA se compromete a continuar financiando los módulos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comedores y la entrega de leche de cada zona conforme a los criterios acordados con el Ministerio de Desarrrollo Social de la Nación y a brindar el apoyo técnico necesarios para afianzar a los equipos locales vinculados a la problemática social en caso de que fuera necesario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IV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EL MUNICIPIO tendrá asignado un cupo de módulos alimentarios determinando en base a la cantidad de hogares y a la incidencia de la pobreza/indigencia en cada una de las jurisdicciones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Las altas y bajas del padrón se producen dentro del cupo asignado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Durante los primeros seis meses del presente convenio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el cupo será sometido a revisión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V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EL MUNICIPIO tendrá a su cargo el traslado de los módulos debiendo ofrecer espacio físico para su almacenamiento y conservación mientras duran las tareas de distribución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VI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Las tareas de distribución de módulos será realizada por El MUNICIPIO con la colaboración de los Concejos Consultivos Zonales y la supervisión de LA SECRETARIA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Las mismas no podrán demandar más de una semana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salvo autorización expresa de LA SECRETARIA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VII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EL MUNICIPIO tendrá a su cargo junto al Consejo Consultivo de la zona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la decisión de altas y bajas de su localidad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LA SECRETARIA elaborará los padrones definitivos que deberán estar expuestos 48 hs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antes de la entrega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lastRenderedPageBreak/>
        <w:t>Cláusula VIII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Los padrones podrán ser tachados por la comunidad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las tachas serán analizadas por EL MUNICIPIO y sus respectivos consejos consultivos y resueltas por los mismos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Las modificaciones en el padrón deberán ser comunicadas inmediatamente a LA SECRETARIA que las incorporará -en la medida que se respeten los criterios acordados para la población objetivo y se cumplan los procedimientos administrativos correspondientes-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para la siguiente entrega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IX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La población incluida en padrón de módulos alimentarios debe responder a las características de la población objetivo definida por LA SECRETARIA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población en condiciones de extrema vulnerabilidad y bajo línea de indigencia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LA SECRETARIA asesorará técnicamente a los equipos locales para la detección de la misma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X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EL MUNICIPIO se compromete a devolver a la Provincia el remanente de módulos no entregados a sus beneficiarios inmediatamente después de vencido el período de entrega salvo autorización especial solicitada a la Provincia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XI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EL MUNICIPIO procurará que los comedores y los centros de copa de leche sean espacios aptos para generar actividades de desarrollo infantil con la</w:t>
      </w:r>
      <w:r w:rsidR="00EB13F2" w:rsidRPr="003A1E9E">
        <w:rPr>
          <w:rFonts w:ascii="Book Antiqua" w:hAnsi="Book Antiqua"/>
        </w:rPr>
        <w:t xml:space="preserve"> </w:t>
      </w:r>
      <w:r w:rsidRPr="003A1E9E">
        <w:rPr>
          <w:rFonts w:ascii="Book Antiqua" w:hAnsi="Book Antiqua"/>
        </w:rPr>
        <w:t>participación de las familias de los beneficiarios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XII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EL MUNICIPIO se compromete a realizar el acompañamiento de los comedores y centros de distribución de copa de leche de sus respectivas zonas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procurando la complementación de los diferentes recursos de su comunidad</w:t>
      </w:r>
      <w:r w:rsidR="00974B00" w:rsidRPr="003A1E9E">
        <w:rPr>
          <w:rFonts w:ascii="Book Antiqua" w:hAnsi="Book Antiqua"/>
        </w:rPr>
        <w:t xml:space="preserve"> </w:t>
      </w:r>
      <w:r w:rsidRPr="003A1E9E">
        <w:rPr>
          <w:rFonts w:ascii="Book Antiqua" w:hAnsi="Book Antiqua"/>
        </w:rPr>
        <w:t>huertas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granjas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productos producidos en la zona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para un mejoramiento de la calidad de la prestación y de la continuidad de las mismas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XIII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EL MUNICIPIO colaborará en las tareas relativas al mejoramiento y construcción de la infraestructura de los comedores y centros de su zona debiendo generar en coordinación con LA SECRETARIA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instancias de trabajo y capacitación conjunta entre las organizaciones que manejan los comedores y la comunidad en general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poniendo énfasis en la participación de las familias beneficiadas con las prestaciones de los mismos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XIV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Las tareas de capacitación y coordinación deberán incluir a los núcleos familiares de los beneficiarios de módulos alimentarios con el fin de acercarles estrategias de desarrollo en el mediano y largo plazo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XV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LA SECRETARIA realizará la evaluación y monitoreo del Plan Nacional de Seguridad Alimentaria para lo que contará con la colaboración de EL MUNICIPIO y los concejos consultivos de cada zona</w:t>
      </w:r>
      <w:r w:rsidR="003A1E9E">
        <w:rPr>
          <w:rFonts w:ascii="Book Antiqua" w:hAnsi="Book Antiqua"/>
        </w:rPr>
        <w:t xml:space="preserve">. </w:t>
      </w:r>
      <w:r w:rsidRPr="003A1E9E">
        <w:rPr>
          <w:rFonts w:ascii="Book Antiqua" w:hAnsi="Book Antiqua"/>
        </w:rPr>
        <w:t>Los mismos realizarán las tareas acordadas para permitir el control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XVI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LA SECRETARIA brindará las herramientas técnicas necesarias</w:t>
      </w:r>
      <w:r w:rsidR="000D3A79" w:rsidRPr="003A1E9E">
        <w:rPr>
          <w:rFonts w:ascii="Book Antiqua" w:hAnsi="Book Antiqua"/>
        </w:rPr>
        <w:t xml:space="preserve"> </w:t>
      </w:r>
      <w:r w:rsidR="003A1E9E">
        <w:rPr>
          <w:rFonts w:ascii="Book Antiqua" w:hAnsi="Book Antiqua"/>
        </w:rPr>
        <w:t xml:space="preserve"> (</w:t>
      </w:r>
      <w:r w:rsidRPr="003A1E9E">
        <w:rPr>
          <w:rFonts w:ascii="Book Antiqua" w:hAnsi="Book Antiqua"/>
        </w:rPr>
        <w:t>formularios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cuadros etc</w:t>
      </w:r>
      <w:r w:rsidR="003A1E9E">
        <w:rPr>
          <w:rFonts w:ascii="Book Antiqua" w:hAnsi="Book Antiqua"/>
        </w:rPr>
        <w:t xml:space="preserve">.)  </w:t>
      </w:r>
      <w:r w:rsidR="000D3A79" w:rsidRPr="003A1E9E">
        <w:rPr>
          <w:rFonts w:ascii="Book Antiqua" w:hAnsi="Book Antiqua"/>
        </w:rPr>
        <w:t xml:space="preserve"> </w:t>
      </w:r>
      <w:r w:rsidRPr="003A1E9E">
        <w:rPr>
          <w:rFonts w:ascii="Book Antiqua" w:hAnsi="Book Antiqua"/>
        </w:rPr>
        <w:t>para facilitar los controles antes mencionados de modo que resulten funcionales y permitan actuar en base a la información evitando la acumulación burocrática de la misma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t>Cláusula XVII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LA SECRETARIArealizará informes generales y por zona a través de sus equipos territoriales para generar cambios y mejorar el desarrollo de las acciones</w:t>
      </w:r>
      <w:r w:rsidR="003A1E9E">
        <w:rPr>
          <w:rFonts w:ascii="Book Antiqua" w:hAnsi="Book Antiqua"/>
        </w:rPr>
        <w:t xml:space="preserve">. </w:t>
      </w:r>
    </w:p>
    <w:p w:rsidR="000D3A79" w:rsidRPr="003A1E9E" w:rsidRDefault="002101B0" w:rsidP="003A1E9E">
      <w:pPr>
        <w:keepNext/>
        <w:spacing w:after="180"/>
        <w:jc w:val="both"/>
        <w:rPr>
          <w:rFonts w:ascii="Book Antiqua" w:hAnsi="Book Antiqua"/>
        </w:rPr>
      </w:pPr>
      <w:r w:rsidRPr="003A1E9E">
        <w:rPr>
          <w:rFonts w:ascii="Book Antiqua" w:hAnsi="Book Antiqua"/>
        </w:rPr>
        <w:lastRenderedPageBreak/>
        <w:t>Disposición transitoria</w:t>
      </w:r>
      <w:r w:rsidR="003A1E9E">
        <w:rPr>
          <w:rFonts w:ascii="Book Antiqua" w:hAnsi="Book Antiqua"/>
        </w:rPr>
        <w:t xml:space="preserve">: </w:t>
      </w:r>
      <w:r w:rsidRPr="003A1E9E">
        <w:rPr>
          <w:rFonts w:ascii="Book Antiqua" w:hAnsi="Book Antiqua"/>
        </w:rPr>
        <w:t>Por un plazo de noventa días a partir de la firma del presente convenio y hasta tanto se reestructuren los concejos consultivos de cada zona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las altas y bajas del padrón de beneficiarios serán decididas por el gobierno local</w:t>
      </w:r>
      <w:r w:rsidR="003A1E9E">
        <w:rPr>
          <w:rFonts w:ascii="Book Antiqua" w:hAnsi="Book Antiqua"/>
        </w:rPr>
        <w:t xml:space="preserve">. </w:t>
      </w:r>
    </w:p>
    <w:p w:rsidR="00060906" w:rsidRPr="003A1E9E" w:rsidRDefault="002101B0" w:rsidP="003A1E9E">
      <w:pPr>
        <w:keepNext/>
        <w:spacing w:after="180"/>
        <w:jc w:val="both"/>
        <w:rPr>
          <w:rFonts w:ascii="Book Antiqua" w:hAnsi="Book Antiqua"/>
          <w:bCs/>
        </w:rPr>
      </w:pPr>
      <w:r w:rsidRPr="003A1E9E">
        <w:rPr>
          <w:rFonts w:ascii="Book Antiqua" w:hAnsi="Book Antiqua"/>
        </w:rPr>
        <w:t>En prueba de conformidad</w:t>
      </w:r>
      <w:r w:rsidR="003A1E9E">
        <w:rPr>
          <w:rFonts w:ascii="Book Antiqua" w:hAnsi="Book Antiqua"/>
        </w:rPr>
        <w:t xml:space="preserve">, </w:t>
      </w:r>
      <w:r w:rsidRPr="003A1E9E">
        <w:rPr>
          <w:rFonts w:ascii="Book Antiqua" w:hAnsi="Book Antiqua"/>
        </w:rPr>
        <w:t>a los 04 días del mes de Diciembre del año 2006 se firman 2</w:t>
      </w:r>
      <w:r w:rsidR="000D3A79" w:rsidRPr="003A1E9E">
        <w:rPr>
          <w:rFonts w:ascii="Book Antiqua" w:hAnsi="Book Antiqua"/>
        </w:rPr>
        <w:t xml:space="preserve"> </w:t>
      </w:r>
      <w:r w:rsidR="003A1E9E">
        <w:rPr>
          <w:rFonts w:ascii="Book Antiqua" w:hAnsi="Book Antiqua"/>
        </w:rPr>
        <w:t xml:space="preserve"> (</w:t>
      </w:r>
      <w:r w:rsidRPr="003A1E9E">
        <w:rPr>
          <w:rFonts w:ascii="Book Antiqua" w:hAnsi="Book Antiqua"/>
        </w:rPr>
        <w:t>dos</w:t>
      </w:r>
      <w:r w:rsidR="003A1E9E">
        <w:rPr>
          <w:rFonts w:ascii="Book Antiqua" w:hAnsi="Book Antiqua"/>
        </w:rPr>
        <w:t xml:space="preserve">) </w:t>
      </w:r>
      <w:r w:rsidR="000D3A79" w:rsidRPr="003A1E9E">
        <w:rPr>
          <w:rFonts w:ascii="Book Antiqua" w:hAnsi="Book Antiqua"/>
        </w:rPr>
        <w:t xml:space="preserve"> </w:t>
      </w:r>
      <w:r w:rsidRPr="003A1E9E">
        <w:rPr>
          <w:rFonts w:ascii="Book Antiqua" w:hAnsi="Book Antiqua"/>
        </w:rPr>
        <w:t>ejemplares de idéntico tenor</w:t>
      </w:r>
      <w:r w:rsidR="003A1E9E">
        <w:rPr>
          <w:rFonts w:ascii="Book Antiqua" w:hAnsi="Book Antiqua"/>
        </w:rPr>
        <w:t xml:space="preserve">. </w:t>
      </w:r>
    </w:p>
    <w:sectPr w:rsidR="00060906" w:rsidRPr="003A1E9E" w:rsidSect="003A1E9E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8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C4E8C" w:rsidRDefault="00FC4E8C">
      <w:r>
        <w:separator/>
      </w:r>
    </w:p>
  </w:endnote>
  <w:endnote w:type="continuationSeparator" w:id="0">
    <w:p w:rsidR="00FC4E8C" w:rsidRDefault="00FC4E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0906" w:rsidRDefault="0074601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101B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60906" w:rsidRDefault="0006090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0906" w:rsidRPr="00201F70" w:rsidRDefault="0006090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C4E8C" w:rsidRDefault="00FC4E8C">
      <w:r>
        <w:separator/>
      </w:r>
    </w:p>
  </w:footnote>
  <w:footnote w:type="continuationSeparator" w:id="0">
    <w:p w:rsidR="00FC4E8C" w:rsidRDefault="00FC4E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094FF1"/>
    <w:multiLevelType w:val="hybridMultilevel"/>
    <w:tmpl w:val="7A8CCA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DDA195A"/>
    <w:multiLevelType w:val="hybridMultilevel"/>
    <w:tmpl w:val="23E432A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B8671E0"/>
    <w:multiLevelType w:val="hybridMultilevel"/>
    <w:tmpl w:val="EC702D0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7"/>
  </w:num>
  <w:num w:numId="7">
    <w:abstractNumId w:val="3"/>
  </w:num>
  <w:num w:numId="8">
    <w:abstractNumId w:val="8"/>
  </w:num>
  <w:num w:numId="9">
    <w:abstractNumId w:val="9"/>
  </w:num>
  <w:num w:numId="10">
    <w:abstractNumId w:val="6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2101B0"/>
    <w:rsid w:val="00013675"/>
    <w:rsid w:val="000315A4"/>
    <w:rsid w:val="00060906"/>
    <w:rsid w:val="000919E2"/>
    <w:rsid w:val="000D3A79"/>
    <w:rsid w:val="000D7465"/>
    <w:rsid w:val="000E4B8A"/>
    <w:rsid w:val="0018688B"/>
    <w:rsid w:val="001D0132"/>
    <w:rsid w:val="00201F70"/>
    <w:rsid w:val="002101B0"/>
    <w:rsid w:val="002D0E7C"/>
    <w:rsid w:val="003051DD"/>
    <w:rsid w:val="003A1E9E"/>
    <w:rsid w:val="004310AF"/>
    <w:rsid w:val="00463044"/>
    <w:rsid w:val="00487C5C"/>
    <w:rsid w:val="004B6A5B"/>
    <w:rsid w:val="0053409A"/>
    <w:rsid w:val="00543F7A"/>
    <w:rsid w:val="00573B8E"/>
    <w:rsid w:val="006367AA"/>
    <w:rsid w:val="00637330"/>
    <w:rsid w:val="00654711"/>
    <w:rsid w:val="006C7B88"/>
    <w:rsid w:val="00746019"/>
    <w:rsid w:val="00811D98"/>
    <w:rsid w:val="00883635"/>
    <w:rsid w:val="008A28DC"/>
    <w:rsid w:val="008B14E8"/>
    <w:rsid w:val="008B1BC5"/>
    <w:rsid w:val="008E4031"/>
    <w:rsid w:val="00974B00"/>
    <w:rsid w:val="009973AF"/>
    <w:rsid w:val="009B3708"/>
    <w:rsid w:val="009C50DA"/>
    <w:rsid w:val="00A5136E"/>
    <w:rsid w:val="00AB66C3"/>
    <w:rsid w:val="00B7594E"/>
    <w:rsid w:val="00BA039C"/>
    <w:rsid w:val="00CD6A1A"/>
    <w:rsid w:val="00D0780B"/>
    <w:rsid w:val="00D47BE8"/>
    <w:rsid w:val="00DE5BD4"/>
    <w:rsid w:val="00EA06DC"/>
    <w:rsid w:val="00EB13F2"/>
    <w:rsid w:val="00EE006D"/>
    <w:rsid w:val="00EE6AE9"/>
    <w:rsid w:val="00F20E7C"/>
    <w:rsid w:val="00F23BE2"/>
    <w:rsid w:val="00FB1BA1"/>
    <w:rsid w:val="00FC4E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8E7BF45-3910-4C36-8BBC-E0F2D6C5A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6090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60906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06090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06090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6090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06090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060906"/>
  </w:style>
  <w:style w:type="paragraph" w:styleId="Sangradetextonormal">
    <w:name w:val="Body Text Indent"/>
    <w:basedOn w:val="Normal"/>
    <w:semiHidden/>
    <w:rsid w:val="00060906"/>
    <w:pPr>
      <w:ind w:firstLine="708"/>
      <w:jc w:val="both"/>
    </w:pPr>
  </w:style>
  <w:style w:type="paragraph" w:styleId="Sangra2detindependiente">
    <w:name w:val="Body Text Indent 2"/>
    <w:basedOn w:val="Normal"/>
    <w:semiHidden/>
    <w:rsid w:val="00060906"/>
    <w:pPr>
      <w:ind w:firstLine="1800"/>
      <w:jc w:val="both"/>
    </w:pPr>
  </w:style>
  <w:style w:type="paragraph" w:styleId="Encabezado">
    <w:name w:val="header"/>
    <w:basedOn w:val="Normal"/>
    <w:link w:val="EncabezadoCar"/>
    <w:uiPriority w:val="99"/>
    <w:unhideWhenUsed/>
    <w:rsid w:val="008B14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8B14E8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1243</Words>
  <Characters>6838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8065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30</cp:revision>
  <cp:lastPrinted>2017-10-04T15:20:00Z</cp:lastPrinted>
  <dcterms:created xsi:type="dcterms:W3CDTF">2017-05-11T14:12:00Z</dcterms:created>
  <dcterms:modified xsi:type="dcterms:W3CDTF">2018-07-06T13:50:00Z</dcterms:modified>
</cp:coreProperties>
</file>