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B8E" w:rsidRPr="00EB4B8E" w:rsidRDefault="00EB4B8E" w:rsidP="00EB4B8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B4B8E">
        <w:rPr>
          <w:rFonts w:ascii="Book Antiqua" w:hAnsi="Book Antiqua"/>
          <w:bCs/>
          <w:lang w:val="es-AR"/>
        </w:rPr>
        <w:t>Yerba Buena, 29 de Julio de 2010</w:t>
      </w:r>
    </w:p>
    <w:p w:rsidR="00EB4B8E" w:rsidRPr="00EB4B8E" w:rsidRDefault="00EB4B8E" w:rsidP="00EB4B8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B4B8E">
        <w:rPr>
          <w:rFonts w:ascii="Book Antiqua" w:hAnsi="Book Antiqua"/>
          <w:b/>
          <w:bCs/>
          <w:lang w:val="es-AR"/>
        </w:rPr>
        <w:t>ORDENANZA Nº 1779</w:t>
      </w:r>
    </w:p>
    <w:p w:rsidR="00EB4B8E" w:rsidRPr="00EB4B8E" w:rsidRDefault="00EB4B8E" w:rsidP="00EB4B8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EB4B8E">
        <w:rPr>
          <w:rFonts w:ascii="Book Antiqua" w:hAnsi="Book Antiqua"/>
          <w:b/>
          <w:bCs/>
          <w:lang w:val="es-AR"/>
        </w:rPr>
        <w:t>VISTO:</w:t>
      </w:r>
    </w:p>
    <w:p w:rsidR="002863F5" w:rsidRPr="00EB4B8E" w:rsidRDefault="00EB4B8E" w:rsidP="00EB4B8E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D4818" w:rsidRPr="00EB4B8E">
        <w:rPr>
          <w:rFonts w:ascii="Book Antiqua" w:hAnsi="Book Antiqua"/>
          <w:lang w:val="es-AR"/>
        </w:rPr>
        <w:t>El Expediente 089-N-09 y la Ordenanza</w:t>
      </w:r>
      <w:r w:rsidR="00422F68" w:rsidRPr="00EB4B8E">
        <w:rPr>
          <w:rFonts w:ascii="Book Antiqua" w:hAnsi="Book Antiqua"/>
          <w:lang w:val="es-AR"/>
        </w:rPr>
        <w:t xml:space="preserve"> N</w:t>
      </w:r>
      <w:r>
        <w:rPr>
          <w:rFonts w:ascii="Book Antiqua" w:hAnsi="Book Antiqua"/>
          <w:lang w:val="es-AR"/>
        </w:rPr>
        <w:t xml:space="preserve">º </w:t>
      </w:r>
      <w:r w:rsidR="00422F68" w:rsidRPr="00EB4B8E">
        <w:rPr>
          <w:rFonts w:ascii="Book Antiqua" w:hAnsi="Book Antiqua"/>
          <w:lang w:val="es-AR"/>
        </w:rPr>
        <w:t>1680</w:t>
      </w:r>
      <w:r>
        <w:rPr>
          <w:rFonts w:ascii="Book Antiqua" w:hAnsi="Book Antiqua"/>
          <w:lang w:val="es-AR"/>
        </w:rPr>
        <w:t xml:space="preserve">; </w:t>
      </w:r>
      <w:r w:rsidR="00422F68" w:rsidRPr="00EB4B8E">
        <w:rPr>
          <w:rFonts w:ascii="Book Antiqua" w:hAnsi="Book Antiqua"/>
          <w:lang w:val="es-AR"/>
        </w:rPr>
        <w:t>y</w:t>
      </w:r>
    </w:p>
    <w:p w:rsidR="00EB4B8E" w:rsidRPr="00EB4B8E" w:rsidRDefault="00EB4B8E" w:rsidP="00EB4B8E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EB4B8E">
        <w:rPr>
          <w:rFonts w:ascii="Book Antiqua" w:hAnsi="Book Antiqua"/>
          <w:b/>
          <w:bCs/>
          <w:lang w:val="es-AR"/>
        </w:rPr>
        <w:t>CONSIDERANDO:</w:t>
      </w:r>
    </w:p>
    <w:p w:rsidR="00C64908" w:rsidRPr="00EB4B8E" w:rsidRDefault="00EB4B8E" w:rsidP="00EB4B8E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D4818" w:rsidRPr="00EB4B8E">
        <w:rPr>
          <w:rFonts w:ascii="Book Antiqua" w:hAnsi="Book Antiqua"/>
          <w:lang w:val="es-AR"/>
        </w:rPr>
        <w:t>Que mediante Expediente</w:t>
      </w:r>
      <w:r w:rsidR="00422F68" w:rsidRPr="00EB4B8E">
        <w:rPr>
          <w:rFonts w:ascii="Book Antiqua" w:hAnsi="Book Antiqua"/>
          <w:lang w:val="es-AR"/>
        </w:rPr>
        <w:t xml:space="preserve"> N</w:t>
      </w:r>
      <w:r>
        <w:rPr>
          <w:rFonts w:ascii="Book Antiqua" w:hAnsi="Book Antiqua"/>
          <w:lang w:val="es-AR"/>
        </w:rPr>
        <w:t xml:space="preserve">º </w:t>
      </w:r>
      <w:r w:rsidR="00422F68" w:rsidRPr="00EB4B8E">
        <w:rPr>
          <w:rFonts w:ascii="Book Antiqua" w:hAnsi="Book Antiqua"/>
          <w:lang w:val="es-AR"/>
        </w:rPr>
        <w:t>089-N-09 el Sr</w:t>
      </w:r>
      <w:r>
        <w:rPr>
          <w:rFonts w:ascii="Book Antiqua" w:hAnsi="Book Antiqua"/>
          <w:lang w:val="es-AR"/>
        </w:rPr>
        <w:t xml:space="preserve">. </w:t>
      </w:r>
      <w:r w:rsidR="00422F68" w:rsidRPr="00EB4B8E">
        <w:rPr>
          <w:rFonts w:ascii="Book Antiqua" w:hAnsi="Book Antiqua"/>
          <w:lang w:val="es-AR"/>
        </w:rPr>
        <w:t>Victor Nicosia y la Sra</w:t>
      </w:r>
      <w:r>
        <w:rPr>
          <w:rFonts w:ascii="Book Antiqua" w:hAnsi="Book Antiqua"/>
          <w:lang w:val="es-AR"/>
        </w:rPr>
        <w:t xml:space="preserve">. </w:t>
      </w:r>
      <w:r w:rsidR="00422F68" w:rsidRPr="00EB4B8E">
        <w:rPr>
          <w:rFonts w:ascii="Book Antiqua" w:hAnsi="Book Antiqua"/>
          <w:lang w:val="es-AR"/>
        </w:rPr>
        <w:t>Juana Rosa Pérez de Mercader</w:t>
      </w:r>
      <w:r>
        <w:rPr>
          <w:rFonts w:ascii="Book Antiqua" w:hAnsi="Book Antiqua"/>
          <w:lang w:val="es-AR"/>
        </w:rPr>
        <w:t xml:space="preserve">, </w:t>
      </w:r>
      <w:r w:rsidR="00422F68" w:rsidRPr="00EB4B8E">
        <w:rPr>
          <w:rFonts w:ascii="Book Antiqua" w:hAnsi="Book Antiqua"/>
          <w:lang w:val="es-AR"/>
        </w:rPr>
        <w:t>solicitan reconsiderar la Ordenanza N</w:t>
      </w:r>
      <w:r>
        <w:rPr>
          <w:rFonts w:ascii="Book Antiqua" w:hAnsi="Book Antiqua"/>
          <w:lang w:val="es-AR"/>
        </w:rPr>
        <w:t xml:space="preserve">º </w:t>
      </w:r>
      <w:r w:rsidR="00422F68" w:rsidRPr="00EB4B8E">
        <w:rPr>
          <w:rFonts w:ascii="Book Antiqua" w:hAnsi="Book Antiqua"/>
          <w:lang w:val="es-AR"/>
        </w:rPr>
        <w:t>1680</w:t>
      </w:r>
      <w:r>
        <w:rPr>
          <w:rFonts w:ascii="Book Antiqua" w:hAnsi="Book Antiqua"/>
          <w:lang w:val="es-AR"/>
        </w:rPr>
        <w:t xml:space="preserve">; </w:t>
      </w:r>
    </w:p>
    <w:p w:rsidR="00422F68" w:rsidRPr="00EB4B8E" w:rsidRDefault="00422F68" w:rsidP="00EB4B8E">
      <w:pPr>
        <w:keepNext/>
        <w:spacing w:after="180"/>
        <w:jc w:val="both"/>
        <w:rPr>
          <w:rFonts w:ascii="Book Antiqua" w:hAnsi="Book Antiqua"/>
          <w:lang w:val="es-AR"/>
        </w:rPr>
      </w:pPr>
      <w:r w:rsidRPr="00EB4B8E">
        <w:rPr>
          <w:rFonts w:ascii="Book Antiqua" w:hAnsi="Book Antiqua"/>
          <w:lang w:val="es-AR"/>
        </w:rPr>
        <w:t>Que dicha Ord</w:t>
      </w:r>
      <w:r w:rsidR="008D4818" w:rsidRPr="00EB4B8E">
        <w:rPr>
          <w:rFonts w:ascii="Book Antiqua" w:hAnsi="Book Antiqua"/>
          <w:lang w:val="es-AR"/>
        </w:rPr>
        <w:t>enanza fue sancionada por este C</w:t>
      </w:r>
      <w:r w:rsidRPr="00EB4B8E">
        <w:rPr>
          <w:rFonts w:ascii="Book Antiqua" w:hAnsi="Book Antiqua"/>
          <w:lang w:val="es-AR"/>
        </w:rPr>
        <w:t>uerpo el 18/12/08</w:t>
      </w:r>
      <w:r w:rsidR="00EB4B8E">
        <w:rPr>
          <w:rFonts w:ascii="Book Antiqua" w:hAnsi="Book Antiqua"/>
          <w:lang w:val="es-AR"/>
        </w:rPr>
        <w:t xml:space="preserve">, </w:t>
      </w:r>
      <w:r w:rsidRPr="00EB4B8E">
        <w:rPr>
          <w:rFonts w:ascii="Book Antiqua" w:hAnsi="Book Antiqua"/>
          <w:lang w:val="es-AR"/>
        </w:rPr>
        <w:t>vetada totalmente por Decreto N</w:t>
      </w:r>
      <w:r w:rsidR="00EB4B8E">
        <w:rPr>
          <w:rFonts w:ascii="Book Antiqua" w:hAnsi="Book Antiqua"/>
          <w:lang w:val="es-AR"/>
        </w:rPr>
        <w:t xml:space="preserve">º </w:t>
      </w:r>
      <w:r w:rsidRPr="00EB4B8E">
        <w:rPr>
          <w:rFonts w:ascii="Book Antiqua" w:hAnsi="Book Antiqua"/>
          <w:lang w:val="es-AR"/>
        </w:rPr>
        <w:t>090 de fecha 09/02/09</w:t>
      </w:r>
      <w:r w:rsidR="00EB4B8E">
        <w:rPr>
          <w:rFonts w:ascii="Book Antiqua" w:hAnsi="Book Antiqua"/>
          <w:lang w:val="es-AR"/>
        </w:rPr>
        <w:t xml:space="preserve">, </w:t>
      </w:r>
      <w:r w:rsidRPr="00EB4B8E">
        <w:rPr>
          <w:rFonts w:ascii="Book Antiqua" w:hAnsi="Book Antiqua"/>
          <w:lang w:val="es-AR"/>
        </w:rPr>
        <w:t>veto que fuera aceptado por Resolución N</w:t>
      </w:r>
      <w:r w:rsidR="00EB4B8E">
        <w:rPr>
          <w:rFonts w:ascii="Book Antiqua" w:hAnsi="Book Antiqua"/>
          <w:lang w:val="es-AR"/>
        </w:rPr>
        <w:t xml:space="preserve">º </w:t>
      </w:r>
      <w:r w:rsidRPr="00EB4B8E">
        <w:rPr>
          <w:rFonts w:ascii="Book Antiqua" w:hAnsi="Book Antiqua"/>
          <w:lang w:val="es-AR"/>
        </w:rPr>
        <w:t>1003</w:t>
      </w:r>
      <w:r w:rsidR="00EB4B8E">
        <w:rPr>
          <w:rFonts w:ascii="Book Antiqua" w:hAnsi="Book Antiqua"/>
          <w:lang w:val="es-AR"/>
        </w:rPr>
        <w:t xml:space="preserve">; </w:t>
      </w:r>
      <w:r w:rsidR="008D4818" w:rsidRPr="00EB4B8E">
        <w:rPr>
          <w:rFonts w:ascii="Book Antiqua" w:hAnsi="Book Antiqua"/>
          <w:lang w:val="es-AR"/>
        </w:rPr>
        <w:t>ya que</w:t>
      </w:r>
    </w:p>
    <w:p w:rsidR="00C64908" w:rsidRPr="00EB4B8E" w:rsidRDefault="00422F68" w:rsidP="00EB4B8E">
      <w:pPr>
        <w:keepNext/>
        <w:spacing w:after="180"/>
        <w:jc w:val="both"/>
        <w:rPr>
          <w:rFonts w:ascii="Book Antiqua" w:hAnsi="Book Antiqua"/>
          <w:lang w:val="es-AR"/>
        </w:rPr>
      </w:pPr>
      <w:r w:rsidRPr="00EB4B8E">
        <w:rPr>
          <w:rFonts w:ascii="Book Antiqua" w:hAnsi="Book Antiqua"/>
          <w:lang w:val="es-AR"/>
        </w:rPr>
        <w:t>Que</w:t>
      </w:r>
      <w:r w:rsidR="001714A7" w:rsidRPr="00EB4B8E">
        <w:rPr>
          <w:rFonts w:ascii="Book Antiqua" w:hAnsi="Book Antiqua"/>
          <w:lang w:val="es-AR"/>
        </w:rPr>
        <w:t xml:space="preserve"> fuera aceptado</w:t>
      </w:r>
      <w:r w:rsidRPr="00EB4B8E">
        <w:rPr>
          <w:rFonts w:ascii="Book Antiqua" w:hAnsi="Book Antiqua"/>
          <w:lang w:val="es-AR"/>
        </w:rPr>
        <w:t xml:space="preserve"> el veto total porque los padrones considerados de los inmuebles en cuestión pertenecen a 2 zona</w:t>
      </w:r>
      <w:r w:rsidR="001714A7" w:rsidRPr="00EB4B8E">
        <w:rPr>
          <w:rFonts w:ascii="Book Antiqua" w:hAnsi="Book Antiqua"/>
          <w:lang w:val="es-AR"/>
        </w:rPr>
        <w:t>s</w:t>
      </w:r>
      <w:r w:rsidRPr="00EB4B8E">
        <w:rPr>
          <w:rFonts w:ascii="Book Antiqua" w:hAnsi="Book Antiqua"/>
          <w:lang w:val="es-AR"/>
        </w:rPr>
        <w:t xml:space="preserve"> diferentes</w:t>
      </w:r>
      <w:r w:rsidR="00EB4B8E">
        <w:rPr>
          <w:rFonts w:ascii="Book Antiqua" w:hAnsi="Book Antiqua"/>
          <w:lang w:val="es-AR"/>
        </w:rPr>
        <w:t xml:space="preserve">, </w:t>
      </w:r>
      <w:r w:rsidRPr="00EB4B8E">
        <w:rPr>
          <w:rFonts w:ascii="Book Antiqua" w:hAnsi="Book Antiqua"/>
          <w:lang w:val="es-AR"/>
        </w:rPr>
        <w:t>es decir no colindantes</w:t>
      </w:r>
      <w:r w:rsidR="00EB4B8E">
        <w:rPr>
          <w:rFonts w:ascii="Book Antiqua" w:hAnsi="Book Antiqua"/>
          <w:lang w:val="es-AR"/>
        </w:rPr>
        <w:t xml:space="preserve">; </w:t>
      </w:r>
    </w:p>
    <w:p w:rsidR="00C64908" w:rsidRPr="00EB4B8E" w:rsidRDefault="002F74EE" w:rsidP="00EB4B8E">
      <w:pPr>
        <w:keepNext/>
        <w:spacing w:after="180"/>
        <w:jc w:val="both"/>
        <w:rPr>
          <w:rFonts w:ascii="Book Antiqua" w:hAnsi="Book Antiqua"/>
          <w:lang w:val="es-AR"/>
        </w:rPr>
      </w:pPr>
      <w:r w:rsidRPr="00EB4B8E">
        <w:rPr>
          <w:rFonts w:ascii="Book Antiqua" w:hAnsi="Book Antiqua"/>
          <w:lang w:val="es-AR"/>
        </w:rPr>
        <w:t>Que en el Expediente N</w:t>
      </w:r>
      <w:r w:rsidR="00EB4B8E">
        <w:rPr>
          <w:rFonts w:ascii="Book Antiqua" w:hAnsi="Book Antiqua"/>
          <w:lang w:val="es-AR"/>
        </w:rPr>
        <w:t xml:space="preserve">º </w:t>
      </w:r>
      <w:r w:rsidRPr="00EB4B8E">
        <w:rPr>
          <w:rFonts w:ascii="Book Antiqua" w:hAnsi="Book Antiqua"/>
          <w:lang w:val="es-AR"/>
        </w:rPr>
        <w:t>089-N-09 los propietarios rectifican los números de padrones</w:t>
      </w:r>
      <w:r w:rsidR="00EB4B8E">
        <w:rPr>
          <w:rFonts w:ascii="Book Antiqua" w:hAnsi="Book Antiqua"/>
          <w:lang w:val="es-AR"/>
        </w:rPr>
        <w:t xml:space="preserve">, </w:t>
      </w:r>
      <w:r w:rsidRPr="00EB4B8E">
        <w:rPr>
          <w:rFonts w:ascii="Book Antiqua" w:hAnsi="Book Antiqua"/>
          <w:lang w:val="es-AR"/>
        </w:rPr>
        <w:t>ya que por un error solicitan la Vía de Excepción para los Padrones N</w:t>
      </w:r>
      <w:r w:rsidR="00EB4B8E">
        <w:rPr>
          <w:rFonts w:ascii="Book Antiqua" w:hAnsi="Book Antiqua"/>
          <w:lang w:val="es-AR"/>
        </w:rPr>
        <w:t xml:space="preserve">º </w:t>
      </w:r>
      <w:r w:rsidRPr="00EB4B8E">
        <w:rPr>
          <w:rFonts w:ascii="Book Antiqua" w:hAnsi="Book Antiqua"/>
          <w:lang w:val="es-AR"/>
        </w:rPr>
        <w:t>382</w:t>
      </w:r>
      <w:r w:rsidR="00EB4B8E">
        <w:rPr>
          <w:rFonts w:ascii="Book Antiqua" w:hAnsi="Book Antiqua"/>
          <w:lang w:val="es-AR"/>
        </w:rPr>
        <w:t xml:space="preserve">. </w:t>
      </w:r>
      <w:r w:rsidRPr="00EB4B8E">
        <w:rPr>
          <w:rFonts w:ascii="Book Antiqua" w:hAnsi="Book Antiqua"/>
          <w:lang w:val="es-AR"/>
        </w:rPr>
        <w:t>750 y 667</w:t>
      </w:r>
      <w:r w:rsidR="00EB4B8E">
        <w:rPr>
          <w:rFonts w:ascii="Book Antiqua" w:hAnsi="Book Antiqua"/>
          <w:lang w:val="es-AR"/>
        </w:rPr>
        <w:t xml:space="preserve">. </w:t>
      </w:r>
      <w:r w:rsidRPr="00EB4B8E">
        <w:rPr>
          <w:rFonts w:ascii="Book Antiqua" w:hAnsi="Book Antiqua"/>
          <w:lang w:val="es-AR"/>
        </w:rPr>
        <w:t>661</w:t>
      </w:r>
      <w:r w:rsidR="00EB4B8E">
        <w:rPr>
          <w:rFonts w:ascii="Book Antiqua" w:hAnsi="Book Antiqua"/>
          <w:lang w:val="es-AR"/>
        </w:rPr>
        <w:t xml:space="preserve">; </w:t>
      </w:r>
      <w:r w:rsidRPr="00EB4B8E">
        <w:rPr>
          <w:rFonts w:ascii="Book Antiqua" w:hAnsi="Book Antiqua"/>
          <w:lang w:val="es-AR"/>
        </w:rPr>
        <w:t>en lugar de 382</w:t>
      </w:r>
      <w:r w:rsidR="00EB4B8E">
        <w:rPr>
          <w:rFonts w:ascii="Book Antiqua" w:hAnsi="Book Antiqua"/>
          <w:lang w:val="es-AR"/>
        </w:rPr>
        <w:t xml:space="preserve">. </w:t>
      </w:r>
      <w:r w:rsidRPr="00EB4B8E">
        <w:rPr>
          <w:rFonts w:ascii="Book Antiqua" w:hAnsi="Book Antiqua"/>
          <w:lang w:val="es-AR"/>
        </w:rPr>
        <w:t>750 y 675</w:t>
      </w:r>
      <w:r w:rsidR="00EB4B8E">
        <w:rPr>
          <w:rFonts w:ascii="Book Antiqua" w:hAnsi="Book Antiqua"/>
          <w:lang w:val="es-AR"/>
        </w:rPr>
        <w:t xml:space="preserve">. </w:t>
      </w:r>
      <w:r w:rsidRPr="00EB4B8E">
        <w:rPr>
          <w:rFonts w:ascii="Book Antiqua" w:hAnsi="Book Antiqua"/>
          <w:lang w:val="es-AR"/>
        </w:rPr>
        <w:t>661</w:t>
      </w:r>
      <w:r w:rsidR="00EB4B8E">
        <w:rPr>
          <w:rFonts w:ascii="Book Antiqua" w:hAnsi="Book Antiqua"/>
          <w:lang w:val="es-AR"/>
        </w:rPr>
        <w:t xml:space="preserve">; </w:t>
      </w:r>
    </w:p>
    <w:p w:rsidR="00C64908" w:rsidRPr="00EB4B8E" w:rsidRDefault="001714A7" w:rsidP="00EB4B8E">
      <w:pPr>
        <w:keepNext/>
        <w:spacing w:after="180"/>
        <w:jc w:val="both"/>
        <w:rPr>
          <w:rFonts w:ascii="Book Antiqua" w:hAnsi="Book Antiqua"/>
          <w:lang w:val="es-AR"/>
        </w:rPr>
      </w:pPr>
      <w:r w:rsidRPr="00EB4B8E">
        <w:rPr>
          <w:rFonts w:ascii="Book Antiqua" w:hAnsi="Book Antiqua"/>
          <w:lang w:val="es-AR"/>
        </w:rPr>
        <w:t>Que conservando el espíritu de solucionar el problema de estos vecinos</w:t>
      </w:r>
      <w:r w:rsidR="00EB4B8E">
        <w:rPr>
          <w:rFonts w:ascii="Book Antiqua" w:hAnsi="Book Antiqua"/>
          <w:lang w:val="es-AR"/>
        </w:rPr>
        <w:t xml:space="preserve">, </w:t>
      </w:r>
      <w:r w:rsidRPr="00EB4B8E">
        <w:rPr>
          <w:rFonts w:ascii="Book Antiqua" w:hAnsi="Book Antiqua"/>
          <w:lang w:val="es-AR"/>
        </w:rPr>
        <w:t>es oportuno dictar una nueva Ordenanza</w:t>
      </w:r>
      <w:r w:rsidR="00EB4B8E">
        <w:rPr>
          <w:rFonts w:ascii="Book Antiqua" w:hAnsi="Book Antiqua"/>
          <w:lang w:val="es-AR"/>
        </w:rPr>
        <w:t xml:space="preserve">; </w:t>
      </w:r>
    </w:p>
    <w:p w:rsidR="002863F5" w:rsidRPr="00EB4B8E" w:rsidRDefault="00EB4B8E" w:rsidP="00EB4B8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B4B8E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C64908" w:rsidRPr="00EB4B8E" w:rsidRDefault="00EB4B8E" w:rsidP="00EB4B8E">
      <w:pPr>
        <w:keepNext/>
        <w:spacing w:after="180"/>
        <w:jc w:val="both"/>
        <w:rPr>
          <w:rFonts w:ascii="Book Antiqua" w:hAnsi="Book Antiqua"/>
          <w:lang w:val="es-AR"/>
        </w:rPr>
      </w:pPr>
      <w:r w:rsidRPr="00EB4B8E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2F74EE" w:rsidRPr="00EB4B8E">
        <w:rPr>
          <w:rFonts w:ascii="Book Antiqua" w:hAnsi="Book Antiqua"/>
          <w:bCs/>
          <w:lang w:val="es-AR"/>
        </w:rPr>
        <w:t>OTORGUESE la factibilidad solicitada por el Sr</w:t>
      </w:r>
      <w:r>
        <w:rPr>
          <w:rFonts w:ascii="Book Antiqua" w:hAnsi="Book Antiqua"/>
          <w:bCs/>
          <w:lang w:val="es-AR"/>
        </w:rPr>
        <w:t xml:space="preserve">. </w:t>
      </w:r>
      <w:r w:rsidR="002F74EE" w:rsidRPr="00EB4B8E">
        <w:rPr>
          <w:rFonts w:ascii="Book Antiqua" w:hAnsi="Book Antiqua"/>
          <w:bCs/>
          <w:lang w:val="es-AR"/>
        </w:rPr>
        <w:t>Victor Nicosia y la Sra</w:t>
      </w:r>
      <w:r>
        <w:rPr>
          <w:rFonts w:ascii="Book Antiqua" w:hAnsi="Book Antiqua"/>
          <w:bCs/>
          <w:lang w:val="es-AR"/>
        </w:rPr>
        <w:t xml:space="preserve">. </w:t>
      </w:r>
      <w:r w:rsidR="002F74EE" w:rsidRPr="00EB4B8E">
        <w:rPr>
          <w:rFonts w:ascii="Book Antiqua" w:hAnsi="Book Antiqua"/>
          <w:bCs/>
          <w:lang w:val="es-AR"/>
        </w:rPr>
        <w:t>Juana Rosa Perez de Mercader</w:t>
      </w:r>
      <w:r>
        <w:rPr>
          <w:rFonts w:ascii="Book Antiqua" w:hAnsi="Book Antiqua"/>
          <w:bCs/>
          <w:lang w:val="es-AR"/>
        </w:rPr>
        <w:t xml:space="preserve">, </w:t>
      </w:r>
      <w:r w:rsidR="002F74EE" w:rsidRPr="00EB4B8E">
        <w:rPr>
          <w:rFonts w:ascii="Book Antiqua" w:hAnsi="Book Antiqua"/>
          <w:bCs/>
          <w:lang w:val="es-AR"/>
        </w:rPr>
        <w:t>para la división del inmueble Padrón N</w:t>
      </w:r>
      <w:r>
        <w:rPr>
          <w:rFonts w:ascii="Book Antiqua" w:hAnsi="Book Antiqua"/>
          <w:bCs/>
          <w:lang w:val="es-AR"/>
        </w:rPr>
        <w:t xml:space="preserve">º </w:t>
      </w:r>
      <w:r w:rsidR="002F74EE" w:rsidRPr="00EB4B8E">
        <w:rPr>
          <w:rFonts w:ascii="Book Antiqua" w:hAnsi="Book Antiqua"/>
          <w:bCs/>
          <w:lang w:val="es-AR"/>
        </w:rPr>
        <w:t>382</w:t>
      </w:r>
      <w:r>
        <w:rPr>
          <w:rFonts w:ascii="Book Antiqua" w:hAnsi="Book Antiqua"/>
          <w:bCs/>
          <w:lang w:val="es-AR"/>
        </w:rPr>
        <w:t xml:space="preserve">. </w:t>
      </w:r>
      <w:r w:rsidR="002F74EE" w:rsidRPr="00EB4B8E">
        <w:rPr>
          <w:rFonts w:ascii="Book Antiqua" w:hAnsi="Book Antiqua"/>
          <w:bCs/>
          <w:lang w:val="es-AR"/>
        </w:rPr>
        <w:t>750</w:t>
      </w:r>
      <w:r>
        <w:rPr>
          <w:rFonts w:ascii="Book Antiqua" w:hAnsi="Book Antiqua"/>
          <w:bCs/>
          <w:lang w:val="es-AR"/>
        </w:rPr>
        <w:t xml:space="preserve">, </w:t>
      </w:r>
      <w:r w:rsidR="002F74EE" w:rsidRPr="00EB4B8E">
        <w:rPr>
          <w:rFonts w:ascii="Book Antiqua" w:hAnsi="Book Antiqua"/>
          <w:bCs/>
          <w:lang w:val="es-AR"/>
        </w:rPr>
        <w:t xml:space="preserve">por la Vía de Excepción en 2 </w:t>
      </w:r>
      <w:r>
        <w:rPr>
          <w:rFonts w:ascii="Book Antiqua" w:hAnsi="Book Antiqua"/>
          <w:bCs/>
          <w:lang w:val="es-AR"/>
        </w:rPr>
        <w:t xml:space="preserve"> (</w:t>
      </w:r>
      <w:r w:rsidR="002F74EE" w:rsidRPr="00EB4B8E">
        <w:rPr>
          <w:rFonts w:ascii="Book Antiqua" w:hAnsi="Book Antiqua"/>
          <w:bCs/>
          <w:lang w:val="es-AR"/>
        </w:rPr>
        <w:t>dos</w:t>
      </w:r>
      <w:r>
        <w:rPr>
          <w:rFonts w:ascii="Book Antiqua" w:hAnsi="Book Antiqua"/>
          <w:bCs/>
          <w:lang w:val="es-AR"/>
        </w:rPr>
        <w:t xml:space="preserve">) </w:t>
      </w:r>
      <w:r w:rsidR="002F74EE" w:rsidRPr="00EB4B8E">
        <w:rPr>
          <w:rFonts w:ascii="Book Antiqua" w:hAnsi="Book Antiqua"/>
          <w:bCs/>
          <w:lang w:val="es-AR"/>
        </w:rPr>
        <w:t xml:space="preserve"> superficies</w:t>
      </w:r>
      <w:r>
        <w:rPr>
          <w:rFonts w:ascii="Book Antiqua" w:hAnsi="Book Antiqua"/>
          <w:bCs/>
          <w:lang w:val="es-AR"/>
        </w:rPr>
        <w:t xml:space="preserve">: </w:t>
      </w:r>
      <w:r w:rsidR="002F74EE" w:rsidRPr="00EB4B8E">
        <w:rPr>
          <w:rFonts w:ascii="Book Antiqua" w:hAnsi="Book Antiqua"/>
          <w:bCs/>
          <w:lang w:val="es-AR"/>
        </w:rPr>
        <w:t>una de 13</w:t>
      </w:r>
      <w:r>
        <w:rPr>
          <w:rFonts w:ascii="Book Antiqua" w:hAnsi="Book Antiqua"/>
          <w:bCs/>
          <w:lang w:val="es-AR"/>
        </w:rPr>
        <w:t xml:space="preserve">, </w:t>
      </w:r>
      <w:r w:rsidR="002F74EE" w:rsidRPr="00EB4B8E">
        <w:rPr>
          <w:rFonts w:ascii="Book Antiqua" w:hAnsi="Book Antiqua"/>
          <w:bCs/>
          <w:lang w:val="es-AR"/>
        </w:rPr>
        <w:t>00mts de frente por 40</w:t>
      </w:r>
      <w:r>
        <w:rPr>
          <w:rFonts w:ascii="Book Antiqua" w:hAnsi="Book Antiqua"/>
          <w:bCs/>
          <w:lang w:val="es-AR"/>
        </w:rPr>
        <w:t xml:space="preserve">, </w:t>
      </w:r>
      <w:r w:rsidR="002F74EE" w:rsidRPr="00EB4B8E">
        <w:rPr>
          <w:rFonts w:ascii="Book Antiqua" w:hAnsi="Book Antiqua"/>
          <w:bCs/>
          <w:lang w:val="es-AR"/>
        </w:rPr>
        <w:t>00mts de fondo y otra de 4</w:t>
      </w:r>
      <w:r>
        <w:rPr>
          <w:rFonts w:ascii="Book Antiqua" w:hAnsi="Book Antiqua"/>
          <w:bCs/>
          <w:lang w:val="es-AR"/>
        </w:rPr>
        <w:t xml:space="preserve">, </w:t>
      </w:r>
      <w:r w:rsidR="002F74EE" w:rsidRPr="00EB4B8E">
        <w:rPr>
          <w:rFonts w:ascii="Book Antiqua" w:hAnsi="Book Antiqua"/>
          <w:bCs/>
          <w:lang w:val="es-AR"/>
        </w:rPr>
        <w:t>50mts de frente por 40</w:t>
      </w:r>
      <w:r>
        <w:rPr>
          <w:rFonts w:ascii="Book Antiqua" w:hAnsi="Book Antiqua"/>
          <w:bCs/>
          <w:lang w:val="es-AR"/>
        </w:rPr>
        <w:t xml:space="preserve">, </w:t>
      </w:r>
      <w:r w:rsidR="002F74EE" w:rsidRPr="00EB4B8E">
        <w:rPr>
          <w:rFonts w:ascii="Book Antiqua" w:hAnsi="Book Antiqua"/>
          <w:bCs/>
          <w:lang w:val="es-AR"/>
        </w:rPr>
        <w:t>00mts de fondo</w:t>
      </w:r>
      <w:r>
        <w:rPr>
          <w:rFonts w:ascii="Book Antiqua" w:hAnsi="Book Antiqua"/>
          <w:bCs/>
          <w:lang w:val="es-AR"/>
        </w:rPr>
        <w:t xml:space="preserve">; </w:t>
      </w:r>
      <w:r w:rsidR="002F74EE" w:rsidRPr="00EB4B8E">
        <w:rPr>
          <w:rFonts w:ascii="Book Antiqua" w:hAnsi="Book Antiqua"/>
          <w:bCs/>
          <w:lang w:val="es-AR"/>
        </w:rPr>
        <w:t>superficie esta última que será anexada al Padrón N</w:t>
      </w:r>
      <w:r>
        <w:rPr>
          <w:rFonts w:ascii="Book Antiqua" w:hAnsi="Book Antiqua"/>
          <w:bCs/>
          <w:lang w:val="es-AR"/>
        </w:rPr>
        <w:t xml:space="preserve">º </w:t>
      </w:r>
      <w:r w:rsidR="002F74EE" w:rsidRPr="00EB4B8E">
        <w:rPr>
          <w:rFonts w:ascii="Book Antiqua" w:hAnsi="Book Antiqua"/>
          <w:bCs/>
          <w:lang w:val="es-AR"/>
        </w:rPr>
        <w:t>675</w:t>
      </w:r>
      <w:r>
        <w:rPr>
          <w:rFonts w:ascii="Book Antiqua" w:hAnsi="Book Antiqua"/>
          <w:bCs/>
          <w:lang w:val="es-AR"/>
        </w:rPr>
        <w:t xml:space="preserve">. </w:t>
      </w:r>
      <w:r w:rsidR="002F74EE" w:rsidRPr="00EB4B8E">
        <w:rPr>
          <w:rFonts w:ascii="Book Antiqua" w:hAnsi="Book Antiqua"/>
          <w:bCs/>
          <w:lang w:val="es-AR"/>
        </w:rPr>
        <w:t>661</w:t>
      </w:r>
      <w:r>
        <w:rPr>
          <w:rFonts w:ascii="Book Antiqua" w:hAnsi="Book Antiqua"/>
          <w:bCs/>
          <w:lang w:val="es-AR"/>
        </w:rPr>
        <w:t xml:space="preserve">; </w:t>
      </w:r>
      <w:r w:rsidR="002F74EE" w:rsidRPr="00EB4B8E">
        <w:rPr>
          <w:rFonts w:ascii="Book Antiqua" w:hAnsi="Book Antiqua"/>
          <w:bCs/>
          <w:lang w:val="es-AR"/>
        </w:rPr>
        <w:t>cuyos propietarios deberán presentar conjuntamente los planos de división y unificación correspondientes</w:t>
      </w:r>
      <w:r>
        <w:rPr>
          <w:rFonts w:ascii="Book Antiqua" w:hAnsi="Book Antiqua"/>
          <w:bCs/>
          <w:lang w:val="es-AR"/>
        </w:rPr>
        <w:t xml:space="preserve">. </w:t>
      </w:r>
    </w:p>
    <w:p w:rsidR="00422F68" w:rsidRPr="00EB4B8E" w:rsidRDefault="00EB4B8E" w:rsidP="00EB4B8E">
      <w:pPr>
        <w:pStyle w:val="Textoindependiente"/>
        <w:keepNext/>
        <w:spacing w:after="180"/>
        <w:rPr>
          <w:rFonts w:ascii="Book Antiqua" w:hAnsi="Book Antiqua"/>
          <w:lang w:val="es-ES"/>
        </w:rPr>
      </w:pPr>
      <w:r w:rsidRPr="00EB4B8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27E49" w:rsidRPr="00EB4B8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27E49" w:rsidRPr="00EB4B8E">
        <w:rPr>
          <w:rFonts w:ascii="Book Antiqua" w:hAnsi="Book Antiqua"/>
          <w:bCs/>
        </w:rPr>
        <w:t>REG</w:t>
      </w:r>
      <w:r w:rsidR="00422F68" w:rsidRPr="00EB4B8E">
        <w:rPr>
          <w:rFonts w:ascii="Book Antiqua" w:hAnsi="Book Antiqua"/>
          <w:bCs/>
        </w:rPr>
        <w:t>I</w:t>
      </w:r>
      <w:r w:rsidR="00127E49" w:rsidRPr="00EB4B8E">
        <w:rPr>
          <w:rFonts w:ascii="Book Antiqua" w:hAnsi="Book Antiqua"/>
          <w:bCs/>
        </w:rPr>
        <w:t>STR</w:t>
      </w:r>
      <w:r w:rsidR="00422F68" w:rsidRPr="00EB4B8E">
        <w:rPr>
          <w:rFonts w:ascii="Book Antiqua" w:hAnsi="Book Antiqua"/>
          <w:bCs/>
        </w:rPr>
        <w:t>ESE Y ARCHIVESE</w:t>
      </w:r>
      <w:r>
        <w:rPr>
          <w:rFonts w:ascii="Book Antiqua" w:hAnsi="Book Antiqua"/>
          <w:bCs/>
        </w:rPr>
        <w:t xml:space="preserve">. </w:t>
      </w:r>
    </w:p>
    <w:sectPr w:rsidR="00422F68" w:rsidRPr="00EB4B8E" w:rsidSect="00EB4B8E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2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431" w:rsidRDefault="003F2431">
      <w:r>
        <w:separator/>
      </w:r>
    </w:p>
  </w:endnote>
  <w:endnote w:type="continuationSeparator" w:id="0">
    <w:p w:rsidR="003F2431" w:rsidRDefault="003F2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9AD" w:rsidRDefault="00B64201" w:rsidP="002309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309A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309AD" w:rsidRDefault="002309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9AD" w:rsidRPr="001A1B08" w:rsidRDefault="002309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431" w:rsidRDefault="003F2431">
      <w:r>
        <w:separator/>
      </w:r>
    </w:p>
  </w:footnote>
  <w:footnote w:type="continuationSeparator" w:id="0">
    <w:p w:rsidR="003F2431" w:rsidRDefault="003F2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F68"/>
    <w:rsid w:val="00041C8A"/>
    <w:rsid w:val="000556C9"/>
    <w:rsid w:val="00085ED1"/>
    <w:rsid w:val="000C7E6C"/>
    <w:rsid w:val="000E7012"/>
    <w:rsid w:val="00127E49"/>
    <w:rsid w:val="001610AB"/>
    <w:rsid w:val="001714A7"/>
    <w:rsid w:val="001A1B08"/>
    <w:rsid w:val="001C3414"/>
    <w:rsid w:val="001D1E4A"/>
    <w:rsid w:val="002309AD"/>
    <w:rsid w:val="0023514B"/>
    <w:rsid w:val="002863F5"/>
    <w:rsid w:val="002E4C28"/>
    <w:rsid w:val="002F74EE"/>
    <w:rsid w:val="003571FC"/>
    <w:rsid w:val="003F2431"/>
    <w:rsid w:val="00422F68"/>
    <w:rsid w:val="00481A24"/>
    <w:rsid w:val="004B6FF2"/>
    <w:rsid w:val="004C77CF"/>
    <w:rsid w:val="005A67B1"/>
    <w:rsid w:val="006940B5"/>
    <w:rsid w:val="006D089F"/>
    <w:rsid w:val="006E11E6"/>
    <w:rsid w:val="00757C63"/>
    <w:rsid w:val="00811AC4"/>
    <w:rsid w:val="00817CAB"/>
    <w:rsid w:val="00880C4B"/>
    <w:rsid w:val="00897298"/>
    <w:rsid w:val="008D4818"/>
    <w:rsid w:val="00917171"/>
    <w:rsid w:val="00933B2F"/>
    <w:rsid w:val="00947ABC"/>
    <w:rsid w:val="009C6105"/>
    <w:rsid w:val="009D2404"/>
    <w:rsid w:val="00A63E8A"/>
    <w:rsid w:val="00A95BCB"/>
    <w:rsid w:val="00AA243C"/>
    <w:rsid w:val="00B45DBF"/>
    <w:rsid w:val="00B64201"/>
    <w:rsid w:val="00B945C4"/>
    <w:rsid w:val="00BA1C15"/>
    <w:rsid w:val="00C05BD3"/>
    <w:rsid w:val="00C2539E"/>
    <w:rsid w:val="00C45D30"/>
    <w:rsid w:val="00C57C89"/>
    <w:rsid w:val="00C64908"/>
    <w:rsid w:val="00C77B4B"/>
    <w:rsid w:val="00CB34AC"/>
    <w:rsid w:val="00CE086C"/>
    <w:rsid w:val="00D90938"/>
    <w:rsid w:val="00D92784"/>
    <w:rsid w:val="00DA49C3"/>
    <w:rsid w:val="00DC7C6E"/>
    <w:rsid w:val="00DD59FC"/>
    <w:rsid w:val="00DF07FF"/>
    <w:rsid w:val="00EB4B8E"/>
    <w:rsid w:val="00EE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5F5D47D-3BB1-435D-A362-43B33DC1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F6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22F6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22F6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22F6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22F68"/>
  </w:style>
  <w:style w:type="paragraph" w:styleId="Sangradetextonormal">
    <w:name w:val="Body Text Indent"/>
    <w:basedOn w:val="Normal"/>
    <w:rsid w:val="00422F68"/>
    <w:pPr>
      <w:ind w:firstLine="1800"/>
      <w:jc w:val="both"/>
    </w:pPr>
  </w:style>
  <w:style w:type="paragraph" w:styleId="Encabezado">
    <w:name w:val="header"/>
    <w:basedOn w:val="Normal"/>
    <w:link w:val="EncabezadoCar"/>
    <w:rsid w:val="00DF07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F07F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2018-07-06T13:57:00Z</dcterms:modified>
</cp:coreProperties>
</file>