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1BF9" w:rsidRPr="000B7C96" w:rsidRDefault="00201BF9" w:rsidP="000B7C96">
      <w:pPr>
        <w:shd w:val="clear" w:color="auto" w:fill="FFFFFF"/>
        <w:spacing w:after="200" w:line="240" w:lineRule="auto"/>
        <w:jc w:val="right"/>
        <w:rPr>
          <w:rFonts w:ascii="Times New Roman" w:eastAsia="Times New Roman" w:hAnsi="Times New Roman" w:cs="Times New Roman"/>
          <w:sz w:val="24"/>
          <w:szCs w:val="24"/>
          <w:lang w:eastAsia="es-AR"/>
        </w:rPr>
      </w:pPr>
      <w:r w:rsidRPr="000B7C96">
        <w:rPr>
          <w:rFonts w:ascii="Times New Roman" w:eastAsia="Times New Roman" w:hAnsi="Times New Roman" w:cs="Times New Roman"/>
          <w:sz w:val="24"/>
          <w:szCs w:val="24"/>
          <w:lang w:eastAsia="es-AR"/>
        </w:rPr>
        <w:t>Yerba Buena, 02 de Febrero de 1994</w:t>
      </w:r>
    </w:p>
    <w:p w:rsidR="00201BF9" w:rsidRPr="000B7C96" w:rsidRDefault="00201BF9" w:rsidP="000B7C96">
      <w:pPr>
        <w:shd w:val="clear" w:color="auto" w:fill="FFFFFF"/>
        <w:spacing w:after="200" w:line="240" w:lineRule="auto"/>
        <w:rPr>
          <w:rFonts w:ascii="Times New Roman" w:eastAsia="Times New Roman" w:hAnsi="Times New Roman" w:cs="Times New Roman"/>
          <w:sz w:val="24"/>
          <w:szCs w:val="24"/>
          <w:lang w:eastAsia="es-AR"/>
        </w:rPr>
      </w:pPr>
      <w:r w:rsidRPr="000B7C96">
        <w:rPr>
          <w:rFonts w:ascii="Times New Roman" w:eastAsia="Times New Roman" w:hAnsi="Times New Roman" w:cs="Times New Roman"/>
          <w:sz w:val="24"/>
          <w:szCs w:val="24"/>
          <w:lang w:eastAsia="es-AR"/>
        </w:rPr>
        <w:t>ORDENANZA Nº 607</w:t>
      </w:r>
    </w:p>
    <w:p w:rsidR="00333A26" w:rsidRPr="000B7C96" w:rsidRDefault="00201BF9" w:rsidP="000B7C96">
      <w:pPr>
        <w:shd w:val="clear" w:color="auto" w:fill="FFFFFF"/>
        <w:spacing w:after="200" w:line="240" w:lineRule="auto"/>
        <w:rPr>
          <w:rFonts w:ascii="Times New Roman" w:eastAsia="Times New Roman" w:hAnsi="Times New Roman" w:cs="Times New Roman"/>
          <w:sz w:val="24"/>
          <w:szCs w:val="24"/>
          <w:lang w:eastAsia="es-AR"/>
        </w:rPr>
      </w:pPr>
      <w:r w:rsidRPr="000B7C96">
        <w:rPr>
          <w:rFonts w:ascii="Times New Roman" w:eastAsia="Times New Roman" w:hAnsi="Times New Roman" w:cs="Times New Roman"/>
          <w:sz w:val="24"/>
          <w:szCs w:val="24"/>
          <w:lang w:eastAsia="es-AR"/>
        </w:rPr>
        <w:t xml:space="preserve">VISTO: </w:t>
      </w:r>
      <w:r w:rsidR="00B17BC6" w:rsidRPr="000B7C96">
        <w:rPr>
          <w:rFonts w:ascii="Times New Roman" w:eastAsia="Times New Roman" w:hAnsi="Times New Roman" w:cs="Times New Roman"/>
          <w:sz w:val="24"/>
          <w:szCs w:val="24"/>
          <w:lang w:eastAsia="es-AR"/>
        </w:rPr>
        <w:t>Ordenanza 571/93 y su modificatoria Ordenanza 593/93;y</w:t>
      </w:r>
    </w:p>
    <w:p w:rsidR="0050529A" w:rsidRPr="000B7C96" w:rsidRDefault="00201BF9" w:rsidP="000B7C96">
      <w:pPr>
        <w:shd w:val="clear" w:color="auto" w:fill="FFFFFF"/>
        <w:spacing w:after="200" w:line="240" w:lineRule="auto"/>
        <w:rPr>
          <w:rFonts w:ascii="Times New Roman" w:eastAsia="Times New Roman" w:hAnsi="Times New Roman" w:cs="Times New Roman"/>
          <w:sz w:val="24"/>
          <w:szCs w:val="24"/>
          <w:lang w:eastAsia="es-AR"/>
        </w:rPr>
      </w:pPr>
      <w:r w:rsidRPr="000B7C96">
        <w:rPr>
          <w:rFonts w:ascii="Times New Roman" w:eastAsia="Times New Roman" w:hAnsi="Times New Roman" w:cs="Times New Roman"/>
          <w:sz w:val="24"/>
          <w:szCs w:val="24"/>
          <w:lang w:eastAsia="es-AR"/>
        </w:rPr>
        <w:t xml:space="preserve">CONSIDERANDO: </w:t>
      </w:r>
      <w:r w:rsidR="0050529A" w:rsidRPr="000B7C96">
        <w:rPr>
          <w:rFonts w:ascii="Times New Roman" w:eastAsia="Times New Roman" w:hAnsi="Times New Roman" w:cs="Times New Roman"/>
          <w:sz w:val="24"/>
          <w:szCs w:val="24"/>
          <w:lang w:eastAsia="es-AR"/>
        </w:rPr>
        <w:t>Que el primero de los instrumentos legales, introdujo en la contribución sobre los Inmuebles un importe anual para cada categoría.</w:t>
      </w:r>
    </w:p>
    <w:p w:rsidR="0050529A" w:rsidRPr="000B7C96" w:rsidRDefault="0050529A" w:rsidP="000B7C96">
      <w:pPr>
        <w:shd w:val="clear" w:color="auto" w:fill="FFFFFF"/>
        <w:spacing w:after="200" w:line="240" w:lineRule="auto"/>
        <w:rPr>
          <w:rFonts w:ascii="Times New Roman" w:eastAsia="Times New Roman" w:hAnsi="Times New Roman" w:cs="Times New Roman"/>
          <w:sz w:val="24"/>
          <w:szCs w:val="24"/>
          <w:lang w:eastAsia="es-AR"/>
        </w:rPr>
      </w:pPr>
      <w:r w:rsidRPr="000B7C96">
        <w:rPr>
          <w:rFonts w:ascii="Times New Roman" w:eastAsia="Times New Roman" w:hAnsi="Times New Roman" w:cs="Times New Roman"/>
          <w:sz w:val="24"/>
          <w:szCs w:val="24"/>
          <w:lang w:eastAsia="es-AR"/>
        </w:rPr>
        <w:t>Que la Ordenanza 593/93, creo dentro de dicho Tributo la categoría de Inmueble rural, definiendo las características intrínsecas a la misma.</w:t>
      </w:r>
    </w:p>
    <w:p w:rsidR="0050529A" w:rsidRPr="000B7C96" w:rsidRDefault="0050529A" w:rsidP="000B7C96">
      <w:pPr>
        <w:shd w:val="clear" w:color="auto" w:fill="FFFFFF"/>
        <w:spacing w:after="200" w:line="240" w:lineRule="auto"/>
        <w:rPr>
          <w:rFonts w:ascii="Times New Roman" w:eastAsia="Times New Roman" w:hAnsi="Times New Roman" w:cs="Times New Roman"/>
          <w:sz w:val="24"/>
          <w:szCs w:val="24"/>
          <w:lang w:eastAsia="es-AR"/>
        </w:rPr>
      </w:pPr>
      <w:r w:rsidRPr="000B7C96">
        <w:rPr>
          <w:rFonts w:ascii="Times New Roman" w:eastAsia="Times New Roman" w:hAnsi="Times New Roman" w:cs="Times New Roman"/>
          <w:sz w:val="24"/>
          <w:szCs w:val="24"/>
          <w:lang w:eastAsia="es-AR"/>
        </w:rPr>
        <w:t>Que el objetivo de la política fiscal para 1993 fue el mantenimiento de la tributación dentr</w:t>
      </w:r>
      <w:r w:rsidR="00AA1F7B" w:rsidRPr="000B7C96">
        <w:rPr>
          <w:rFonts w:ascii="Times New Roman" w:eastAsia="Times New Roman" w:hAnsi="Times New Roman" w:cs="Times New Roman"/>
          <w:sz w:val="24"/>
          <w:szCs w:val="24"/>
          <w:lang w:eastAsia="es-AR"/>
        </w:rPr>
        <w:t>o de los quarismos correspondientes al año fiscal 1992.</w:t>
      </w:r>
    </w:p>
    <w:p w:rsidR="00AA1F7B" w:rsidRPr="000B7C96" w:rsidRDefault="00AA1F7B" w:rsidP="000B7C96">
      <w:pPr>
        <w:shd w:val="clear" w:color="auto" w:fill="FFFFFF"/>
        <w:spacing w:after="200" w:line="240" w:lineRule="auto"/>
        <w:rPr>
          <w:rFonts w:ascii="Times New Roman" w:eastAsia="Times New Roman" w:hAnsi="Times New Roman" w:cs="Times New Roman"/>
          <w:sz w:val="24"/>
          <w:szCs w:val="24"/>
          <w:lang w:eastAsia="es-AR"/>
        </w:rPr>
      </w:pPr>
      <w:r w:rsidRPr="000B7C96">
        <w:rPr>
          <w:rFonts w:ascii="Times New Roman" w:eastAsia="Times New Roman" w:hAnsi="Times New Roman" w:cs="Times New Roman"/>
          <w:sz w:val="24"/>
          <w:szCs w:val="24"/>
          <w:lang w:eastAsia="es-AR"/>
        </w:rPr>
        <w:t>Que la fijación de importe máximos implica en la práctica la determinación de montos sensiblemente inferiores a los oblados durante 1992.</w:t>
      </w:r>
    </w:p>
    <w:p w:rsidR="00AA1F7B" w:rsidRPr="000B7C96" w:rsidRDefault="00055FC4" w:rsidP="000B7C96">
      <w:pPr>
        <w:shd w:val="clear" w:color="auto" w:fill="FFFFFF"/>
        <w:spacing w:after="200" w:line="240" w:lineRule="auto"/>
        <w:rPr>
          <w:rFonts w:ascii="Times New Roman" w:eastAsia="Times New Roman" w:hAnsi="Times New Roman" w:cs="Times New Roman"/>
          <w:sz w:val="24"/>
          <w:szCs w:val="24"/>
          <w:lang w:eastAsia="es-AR"/>
        </w:rPr>
      </w:pPr>
      <w:r w:rsidRPr="000B7C96">
        <w:rPr>
          <w:rFonts w:ascii="Times New Roman" w:eastAsia="Times New Roman" w:hAnsi="Times New Roman" w:cs="Times New Roman"/>
          <w:sz w:val="24"/>
          <w:szCs w:val="24"/>
          <w:lang w:eastAsia="es-AR"/>
        </w:rPr>
        <w:t>Que el mantenimiento de dichos montos máximos implica al margen de permitir una menor tributación, la creación de un antecedente válido sobre la cuantía de la contribución, de utilización generalizada por los contribuyentes a fin de impugnar la misma.</w:t>
      </w:r>
    </w:p>
    <w:p w:rsidR="00055FC4" w:rsidRPr="000B7C96" w:rsidRDefault="00055FC4" w:rsidP="000B7C96">
      <w:pPr>
        <w:shd w:val="clear" w:color="auto" w:fill="FFFFFF"/>
        <w:spacing w:after="200" w:line="240" w:lineRule="auto"/>
        <w:rPr>
          <w:rFonts w:ascii="Times New Roman" w:eastAsia="Times New Roman" w:hAnsi="Times New Roman" w:cs="Times New Roman"/>
          <w:sz w:val="24"/>
          <w:szCs w:val="24"/>
          <w:lang w:eastAsia="es-AR"/>
        </w:rPr>
      </w:pPr>
      <w:r w:rsidRPr="000B7C96">
        <w:rPr>
          <w:rFonts w:ascii="Times New Roman" w:eastAsia="Times New Roman" w:hAnsi="Times New Roman" w:cs="Times New Roman"/>
          <w:sz w:val="24"/>
          <w:szCs w:val="24"/>
          <w:lang w:eastAsia="es-AR"/>
        </w:rPr>
        <w:t xml:space="preserve">Que ello no se compadece con el objetivo fijado de mantener la presión tributaria en los niveles de 1992 hasta tanto se puedan cuantificar en su debida medida las futuras implicancias del Pacto Fiscal Federal al cual adhirió la provincia dentro </w:t>
      </w:r>
      <w:r w:rsidR="006F5810" w:rsidRPr="000B7C96">
        <w:rPr>
          <w:rFonts w:ascii="Times New Roman" w:eastAsia="Times New Roman" w:hAnsi="Times New Roman" w:cs="Times New Roman"/>
          <w:sz w:val="24"/>
          <w:szCs w:val="24"/>
          <w:lang w:eastAsia="es-AR"/>
        </w:rPr>
        <w:t>de contribución sobre Inmuebles.</w:t>
      </w:r>
    </w:p>
    <w:p w:rsidR="006F5810" w:rsidRPr="000B7C96" w:rsidRDefault="006F5810" w:rsidP="000B7C96">
      <w:pPr>
        <w:shd w:val="clear" w:color="auto" w:fill="FFFFFF"/>
        <w:spacing w:after="200" w:line="240" w:lineRule="auto"/>
        <w:rPr>
          <w:rFonts w:ascii="Times New Roman" w:eastAsia="Times New Roman" w:hAnsi="Times New Roman" w:cs="Times New Roman"/>
          <w:sz w:val="24"/>
          <w:szCs w:val="24"/>
          <w:lang w:eastAsia="es-AR"/>
        </w:rPr>
      </w:pPr>
      <w:r w:rsidRPr="000B7C96">
        <w:rPr>
          <w:rFonts w:ascii="Times New Roman" w:eastAsia="Times New Roman" w:hAnsi="Times New Roman" w:cs="Times New Roman"/>
          <w:sz w:val="24"/>
          <w:szCs w:val="24"/>
          <w:lang w:eastAsia="es-AR"/>
        </w:rPr>
        <w:t>Que la calificación como Inmuebles Rurales implica igualmente una desviación del parámetro fijado toda vez que fija importes anuales únicamente.</w:t>
      </w:r>
    </w:p>
    <w:p w:rsidR="00333A26" w:rsidRPr="000B7C96" w:rsidRDefault="006F5810" w:rsidP="000B7C96">
      <w:pPr>
        <w:shd w:val="clear" w:color="auto" w:fill="FFFFFF"/>
        <w:spacing w:after="200" w:line="240" w:lineRule="auto"/>
        <w:rPr>
          <w:rFonts w:ascii="Times New Roman" w:eastAsia="Times New Roman" w:hAnsi="Times New Roman" w:cs="Times New Roman"/>
          <w:sz w:val="24"/>
          <w:szCs w:val="24"/>
          <w:lang w:eastAsia="es-AR"/>
        </w:rPr>
      </w:pPr>
      <w:r w:rsidRPr="000B7C96">
        <w:rPr>
          <w:rFonts w:ascii="Times New Roman" w:eastAsia="Times New Roman" w:hAnsi="Times New Roman" w:cs="Times New Roman"/>
          <w:sz w:val="24"/>
          <w:szCs w:val="24"/>
          <w:lang w:eastAsia="es-AR"/>
        </w:rPr>
        <w:t xml:space="preserve">Que el efecto propuesto, resulta asignar </w:t>
      </w:r>
      <w:r w:rsidR="00CB3FEC" w:rsidRPr="000B7C96">
        <w:rPr>
          <w:rFonts w:ascii="Times New Roman" w:eastAsia="Times New Roman" w:hAnsi="Times New Roman" w:cs="Times New Roman"/>
          <w:sz w:val="24"/>
          <w:szCs w:val="24"/>
          <w:lang w:eastAsia="es-AR"/>
        </w:rPr>
        <w:t>al carácter de mínimo al importe anual dispuesto por el punto 3ro. del Art. 2do. de la Ord. 371/93.</w:t>
      </w:r>
    </w:p>
    <w:p w:rsidR="00D94044" w:rsidRPr="000B7C96" w:rsidRDefault="008213C0" w:rsidP="000B7C96">
      <w:pPr>
        <w:shd w:val="clear" w:color="auto" w:fill="FFFFFF"/>
        <w:spacing w:after="200" w:line="240" w:lineRule="auto"/>
        <w:jc w:val="center"/>
        <w:rPr>
          <w:rFonts w:ascii="Times New Roman" w:eastAsia="Times New Roman" w:hAnsi="Times New Roman" w:cs="Times New Roman"/>
          <w:sz w:val="24"/>
          <w:szCs w:val="24"/>
          <w:lang w:eastAsia="es-AR"/>
        </w:rPr>
      </w:pPr>
      <w:r w:rsidRPr="000B7C96">
        <w:rPr>
          <w:rFonts w:ascii="Times New Roman" w:eastAsia="Times New Roman" w:hAnsi="Times New Roman" w:cs="Times New Roman"/>
          <w:sz w:val="24"/>
          <w:szCs w:val="24"/>
          <w:lang w:eastAsia="es-AR"/>
        </w:rPr>
        <w:t xml:space="preserve">POR </w:t>
      </w:r>
      <w:r w:rsidR="00201BF9" w:rsidRPr="000B7C96">
        <w:rPr>
          <w:rFonts w:ascii="Times New Roman" w:eastAsia="Times New Roman" w:hAnsi="Times New Roman" w:cs="Times New Roman"/>
          <w:sz w:val="24"/>
          <w:szCs w:val="24"/>
          <w:lang w:eastAsia="es-AR"/>
        </w:rPr>
        <w:t>EL CONCEJO DELIBERANTE SANCIONA CON FUERZA DE ORDENANZA</w:t>
      </w:r>
    </w:p>
    <w:p w:rsidR="000B7C96" w:rsidRDefault="00797108" w:rsidP="000B7C96">
      <w:pPr>
        <w:spacing w:after="200" w:line="240" w:lineRule="auto"/>
        <w:rPr>
          <w:rFonts w:ascii="Times New Roman" w:eastAsia="Times New Roman" w:hAnsi="Times New Roman" w:cs="Times New Roman"/>
          <w:sz w:val="24"/>
          <w:szCs w:val="24"/>
          <w:lang w:eastAsia="es-AR"/>
        </w:rPr>
      </w:pPr>
      <w:r w:rsidRPr="000B7C96">
        <w:rPr>
          <w:rFonts w:ascii="Times New Roman" w:eastAsia="Times New Roman" w:hAnsi="Times New Roman" w:cs="Times New Roman"/>
          <w:sz w:val="24"/>
          <w:szCs w:val="24"/>
          <w:lang w:eastAsia="es-AR"/>
        </w:rPr>
        <w:t>ARTICULO PRIMERO</w:t>
      </w:r>
      <w:r w:rsidR="00201BF9" w:rsidRPr="000B7C96">
        <w:rPr>
          <w:rFonts w:ascii="Times New Roman" w:eastAsia="Times New Roman" w:hAnsi="Times New Roman" w:cs="Times New Roman"/>
          <w:sz w:val="24"/>
          <w:szCs w:val="24"/>
          <w:lang w:eastAsia="es-AR"/>
        </w:rPr>
        <w:t xml:space="preserve">: </w:t>
      </w:r>
      <w:r w:rsidR="00747FDC" w:rsidRPr="000B7C96">
        <w:rPr>
          <w:rFonts w:ascii="Times New Roman" w:eastAsia="Times New Roman" w:hAnsi="Times New Roman" w:cs="Times New Roman"/>
          <w:sz w:val="24"/>
          <w:szCs w:val="24"/>
          <w:lang w:eastAsia="es-AR"/>
        </w:rPr>
        <w:t>INTRODUCESE como punto cuarto del artículo segundo de la Ordenanza 571/93: Pto 4to.: Los importes máximos anuales fijados en la presente Ordenanza en ningún caso podrán ser inferiores a los montos anuales de la Contribución, determinados por el año fiscal 1992.</w:t>
      </w:r>
    </w:p>
    <w:p w:rsidR="008213C0" w:rsidRPr="000B7C96" w:rsidRDefault="00797108" w:rsidP="000B7C96">
      <w:pPr>
        <w:spacing w:after="200" w:line="240" w:lineRule="auto"/>
        <w:rPr>
          <w:rFonts w:ascii="Times New Roman" w:eastAsia="Times New Roman" w:hAnsi="Times New Roman" w:cs="Times New Roman"/>
          <w:sz w:val="24"/>
          <w:szCs w:val="24"/>
          <w:lang w:eastAsia="es-AR"/>
        </w:rPr>
      </w:pPr>
      <w:r w:rsidRPr="000B7C96">
        <w:rPr>
          <w:rFonts w:ascii="Times New Roman" w:eastAsia="Times New Roman" w:hAnsi="Times New Roman" w:cs="Times New Roman"/>
          <w:sz w:val="24"/>
          <w:szCs w:val="24"/>
          <w:lang w:eastAsia="es-AR"/>
        </w:rPr>
        <w:t>ARTICULO SEGUNDO</w:t>
      </w:r>
      <w:r w:rsidR="00201BF9" w:rsidRPr="000B7C96">
        <w:rPr>
          <w:rFonts w:ascii="Times New Roman" w:eastAsia="Times New Roman" w:hAnsi="Times New Roman" w:cs="Times New Roman"/>
          <w:sz w:val="24"/>
          <w:szCs w:val="24"/>
          <w:lang w:eastAsia="es-AR"/>
        </w:rPr>
        <w:t xml:space="preserve">: </w:t>
      </w:r>
      <w:r w:rsidR="00747FDC" w:rsidRPr="000B7C96">
        <w:rPr>
          <w:rFonts w:ascii="Times New Roman" w:eastAsia="Times New Roman" w:hAnsi="Times New Roman" w:cs="Times New Roman"/>
          <w:sz w:val="24"/>
          <w:szCs w:val="24"/>
          <w:lang w:eastAsia="es-AR"/>
        </w:rPr>
        <w:t>MODIFICASE el Art. Decimo Noveno del Título Noveno</w:t>
      </w:r>
      <w:r w:rsidR="00201BF9" w:rsidRPr="000B7C96">
        <w:rPr>
          <w:rFonts w:ascii="Times New Roman" w:eastAsia="Times New Roman" w:hAnsi="Times New Roman" w:cs="Times New Roman"/>
          <w:sz w:val="24"/>
          <w:szCs w:val="24"/>
          <w:lang w:eastAsia="es-AR"/>
        </w:rPr>
        <w:t xml:space="preserve"> </w:t>
      </w:r>
      <w:r w:rsidR="000B7C96">
        <w:rPr>
          <w:rFonts w:ascii="Times New Roman" w:eastAsia="Times New Roman" w:hAnsi="Times New Roman" w:cs="Times New Roman"/>
          <w:sz w:val="24"/>
          <w:szCs w:val="24"/>
          <w:lang w:eastAsia="es-AR"/>
        </w:rPr>
        <w:t xml:space="preserve">                    (</w:t>
      </w:r>
      <w:r w:rsidR="00747FDC" w:rsidRPr="000B7C96">
        <w:rPr>
          <w:rFonts w:ascii="Times New Roman" w:eastAsia="Times New Roman" w:hAnsi="Times New Roman" w:cs="Times New Roman"/>
          <w:sz w:val="24"/>
          <w:szCs w:val="24"/>
          <w:lang w:eastAsia="es-AR"/>
        </w:rPr>
        <w:t>IX</w:t>
      </w:r>
      <w:r w:rsidR="000B7C96">
        <w:rPr>
          <w:rFonts w:ascii="Times New Roman" w:eastAsia="Times New Roman" w:hAnsi="Times New Roman" w:cs="Times New Roman"/>
          <w:sz w:val="24"/>
          <w:szCs w:val="24"/>
          <w:lang w:eastAsia="es-AR"/>
        </w:rPr>
        <w:t xml:space="preserve">) </w:t>
      </w:r>
      <w:r w:rsidR="00201BF9" w:rsidRPr="000B7C96">
        <w:rPr>
          <w:rFonts w:ascii="Times New Roman" w:eastAsia="Times New Roman" w:hAnsi="Times New Roman" w:cs="Times New Roman"/>
          <w:sz w:val="24"/>
          <w:szCs w:val="24"/>
          <w:lang w:eastAsia="es-AR"/>
        </w:rPr>
        <w:t xml:space="preserve"> </w:t>
      </w:r>
      <w:r w:rsidR="00747FDC" w:rsidRPr="000B7C96">
        <w:rPr>
          <w:rFonts w:ascii="Times New Roman" w:eastAsia="Times New Roman" w:hAnsi="Times New Roman" w:cs="Times New Roman"/>
          <w:sz w:val="24"/>
          <w:szCs w:val="24"/>
          <w:lang w:eastAsia="es-AR"/>
        </w:rPr>
        <w:t>de la Ord. 571/93 que quedará redactado de la siguiente manera:</w:t>
      </w:r>
    </w:p>
    <w:p w:rsidR="000B7C96" w:rsidRDefault="00747FDC" w:rsidP="000B7C96">
      <w:pPr>
        <w:spacing w:after="200" w:line="240" w:lineRule="auto"/>
        <w:rPr>
          <w:rFonts w:ascii="Times New Roman" w:eastAsia="Times New Roman" w:hAnsi="Times New Roman" w:cs="Times New Roman"/>
          <w:sz w:val="24"/>
          <w:szCs w:val="24"/>
          <w:lang w:eastAsia="es-AR"/>
        </w:rPr>
      </w:pPr>
      <w:r w:rsidRPr="000B7C96">
        <w:rPr>
          <w:rFonts w:ascii="Times New Roman" w:eastAsia="Times New Roman" w:hAnsi="Times New Roman" w:cs="Times New Roman"/>
          <w:sz w:val="24"/>
          <w:szCs w:val="24"/>
          <w:lang w:eastAsia="es-AR"/>
        </w:rPr>
        <w:t>ARTICULO DÉCIMO NOVENO: Fijase en el 10%</w:t>
      </w:r>
      <w:r w:rsidR="00201BF9" w:rsidRPr="000B7C96">
        <w:rPr>
          <w:rFonts w:ascii="Times New Roman" w:eastAsia="Times New Roman" w:hAnsi="Times New Roman" w:cs="Times New Roman"/>
          <w:sz w:val="24"/>
          <w:szCs w:val="24"/>
          <w:lang w:eastAsia="es-AR"/>
        </w:rPr>
        <w:t xml:space="preserve"> </w:t>
      </w:r>
      <w:r w:rsidR="000B7C96">
        <w:rPr>
          <w:rFonts w:ascii="Times New Roman" w:eastAsia="Times New Roman" w:hAnsi="Times New Roman" w:cs="Times New Roman"/>
          <w:sz w:val="24"/>
          <w:szCs w:val="24"/>
          <w:lang w:eastAsia="es-AR"/>
        </w:rPr>
        <w:t xml:space="preserve">                    (</w:t>
      </w:r>
      <w:r w:rsidRPr="000B7C96">
        <w:rPr>
          <w:rFonts w:ascii="Times New Roman" w:eastAsia="Times New Roman" w:hAnsi="Times New Roman" w:cs="Times New Roman"/>
          <w:sz w:val="24"/>
          <w:szCs w:val="24"/>
          <w:lang w:eastAsia="es-AR"/>
        </w:rPr>
        <w:t>Diez por ciento</w:t>
      </w:r>
      <w:r w:rsidR="000B7C96">
        <w:rPr>
          <w:rFonts w:ascii="Times New Roman" w:eastAsia="Times New Roman" w:hAnsi="Times New Roman" w:cs="Times New Roman"/>
          <w:sz w:val="24"/>
          <w:szCs w:val="24"/>
          <w:lang w:eastAsia="es-AR"/>
        </w:rPr>
        <w:t xml:space="preserve">) </w:t>
      </w:r>
      <w:r w:rsidR="00201BF9" w:rsidRPr="000B7C96">
        <w:rPr>
          <w:rFonts w:ascii="Times New Roman" w:eastAsia="Times New Roman" w:hAnsi="Times New Roman" w:cs="Times New Roman"/>
          <w:sz w:val="24"/>
          <w:szCs w:val="24"/>
          <w:lang w:eastAsia="es-AR"/>
        </w:rPr>
        <w:t xml:space="preserve"> </w:t>
      </w:r>
      <w:r w:rsidRPr="000B7C96">
        <w:rPr>
          <w:rFonts w:ascii="Times New Roman" w:eastAsia="Times New Roman" w:hAnsi="Times New Roman" w:cs="Times New Roman"/>
          <w:sz w:val="24"/>
          <w:szCs w:val="24"/>
          <w:lang w:eastAsia="es-AR"/>
        </w:rPr>
        <w:t>la Alícuota a la que se refiere el Art. 227 del Código Tributario Municipal que se aplicará sobre el importe total que resulte de los metros cúbicos</w:t>
      </w:r>
      <w:r w:rsidR="00201BF9" w:rsidRPr="000B7C96">
        <w:rPr>
          <w:rFonts w:ascii="Times New Roman" w:eastAsia="Times New Roman" w:hAnsi="Times New Roman" w:cs="Times New Roman"/>
          <w:sz w:val="24"/>
          <w:szCs w:val="24"/>
          <w:lang w:eastAsia="es-AR"/>
        </w:rPr>
        <w:t xml:space="preserve"> </w:t>
      </w:r>
      <w:r w:rsidR="000B7C96">
        <w:rPr>
          <w:rFonts w:ascii="Times New Roman" w:eastAsia="Times New Roman" w:hAnsi="Times New Roman" w:cs="Times New Roman"/>
          <w:sz w:val="24"/>
          <w:szCs w:val="24"/>
          <w:lang w:eastAsia="es-AR"/>
        </w:rPr>
        <w:t xml:space="preserve">                    (</w:t>
      </w:r>
      <w:r w:rsidRPr="000B7C96">
        <w:rPr>
          <w:rFonts w:ascii="Times New Roman" w:eastAsia="Times New Roman" w:hAnsi="Times New Roman" w:cs="Times New Roman"/>
          <w:sz w:val="24"/>
          <w:szCs w:val="24"/>
          <w:lang w:eastAsia="es-AR"/>
        </w:rPr>
        <w:t>M3</w:t>
      </w:r>
      <w:r w:rsidR="000B7C96">
        <w:rPr>
          <w:rFonts w:ascii="Times New Roman" w:eastAsia="Times New Roman" w:hAnsi="Times New Roman" w:cs="Times New Roman"/>
          <w:sz w:val="24"/>
          <w:szCs w:val="24"/>
          <w:lang w:eastAsia="es-AR"/>
        </w:rPr>
        <w:t xml:space="preserve">) </w:t>
      </w:r>
      <w:r w:rsidR="00201BF9" w:rsidRPr="000B7C96">
        <w:rPr>
          <w:rFonts w:ascii="Times New Roman" w:eastAsia="Times New Roman" w:hAnsi="Times New Roman" w:cs="Times New Roman"/>
          <w:sz w:val="24"/>
          <w:szCs w:val="24"/>
          <w:lang w:eastAsia="es-AR"/>
        </w:rPr>
        <w:t xml:space="preserve"> </w:t>
      </w:r>
      <w:r w:rsidRPr="000B7C96">
        <w:rPr>
          <w:rFonts w:ascii="Times New Roman" w:eastAsia="Times New Roman" w:hAnsi="Times New Roman" w:cs="Times New Roman"/>
          <w:sz w:val="24"/>
          <w:szCs w:val="24"/>
          <w:lang w:eastAsia="es-AR"/>
        </w:rPr>
        <w:t>consumidos que deben abonarse a la empresa proveedora</w:t>
      </w:r>
      <w:r w:rsidR="00201BF9" w:rsidRPr="000B7C96">
        <w:rPr>
          <w:rFonts w:ascii="Times New Roman" w:eastAsia="Times New Roman" w:hAnsi="Times New Roman" w:cs="Times New Roman"/>
          <w:sz w:val="24"/>
          <w:szCs w:val="24"/>
          <w:lang w:eastAsia="es-AR"/>
        </w:rPr>
        <w:t xml:space="preserve"> </w:t>
      </w:r>
      <w:r w:rsidR="000B7C96">
        <w:rPr>
          <w:rFonts w:ascii="Times New Roman" w:eastAsia="Times New Roman" w:hAnsi="Times New Roman" w:cs="Times New Roman"/>
          <w:sz w:val="24"/>
          <w:szCs w:val="24"/>
          <w:lang w:eastAsia="es-AR"/>
        </w:rPr>
        <w:t xml:space="preserve">                    (</w:t>
      </w:r>
      <w:r w:rsidRPr="000B7C96">
        <w:rPr>
          <w:rFonts w:ascii="Times New Roman" w:eastAsia="Times New Roman" w:hAnsi="Times New Roman" w:cs="Times New Roman"/>
          <w:sz w:val="24"/>
          <w:szCs w:val="24"/>
          <w:lang w:eastAsia="es-AR"/>
        </w:rPr>
        <w:t>Incluye actualizaciones e intereses por pago fuera de término del consumidor</w:t>
      </w:r>
      <w:r w:rsidR="000B7C96">
        <w:rPr>
          <w:rFonts w:ascii="Times New Roman" w:eastAsia="Times New Roman" w:hAnsi="Times New Roman" w:cs="Times New Roman"/>
          <w:sz w:val="24"/>
          <w:szCs w:val="24"/>
          <w:lang w:eastAsia="es-AR"/>
        </w:rPr>
        <w:t xml:space="preserve">) . </w:t>
      </w:r>
    </w:p>
    <w:p w:rsidR="000B7C96" w:rsidRDefault="00797108" w:rsidP="000B7C96">
      <w:pPr>
        <w:spacing w:after="200" w:line="240" w:lineRule="auto"/>
        <w:rPr>
          <w:rFonts w:ascii="Times New Roman" w:eastAsia="Times New Roman" w:hAnsi="Times New Roman" w:cs="Times New Roman"/>
          <w:sz w:val="24"/>
          <w:szCs w:val="24"/>
          <w:lang w:eastAsia="es-AR"/>
        </w:rPr>
      </w:pPr>
      <w:r w:rsidRPr="000B7C96">
        <w:rPr>
          <w:rFonts w:ascii="Times New Roman" w:eastAsia="Times New Roman" w:hAnsi="Times New Roman" w:cs="Times New Roman"/>
          <w:sz w:val="24"/>
          <w:szCs w:val="24"/>
          <w:lang w:eastAsia="es-AR"/>
        </w:rPr>
        <w:t>ARTICULO TERCERO</w:t>
      </w:r>
      <w:r w:rsidR="00201BF9" w:rsidRPr="000B7C96">
        <w:rPr>
          <w:rFonts w:ascii="Times New Roman" w:eastAsia="Times New Roman" w:hAnsi="Times New Roman" w:cs="Times New Roman"/>
          <w:sz w:val="24"/>
          <w:szCs w:val="24"/>
          <w:lang w:eastAsia="es-AR"/>
        </w:rPr>
        <w:t xml:space="preserve">: </w:t>
      </w:r>
      <w:r w:rsidR="005B234D" w:rsidRPr="000B7C96">
        <w:rPr>
          <w:rFonts w:ascii="Times New Roman" w:eastAsia="Times New Roman" w:hAnsi="Times New Roman" w:cs="Times New Roman"/>
          <w:sz w:val="24"/>
          <w:szCs w:val="24"/>
          <w:lang w:eastAsia="es-AR"/>
        </w:rPr>
        <w:t>La entrada en vigencia de la presente Ordenanza será a partir del día de su publicación.</w:t>
      </w:r>
    </w:p>
    <w:p w:rsidR="008213C0" w:rsidRPr="000B7C96" w:rsidRDefault="00797108" w:rsidP="000B7C96">
      <w:pPr>
        <w:spacing w:after="200" w:line="240" w:lineRule="auto"/>
        <w:rPr>
          <w:rFonts w:ascii="Times New Roman" w:hAnsi="Times New Roman" w:cs="Times New Roman"/>
          <w:sz w:val="24"/>
        </w:rPr>
      </w:pPr>
      <w:r w:rsidRPr="000B7C96">
        <w:rPr>
          <w:rFonts w:ascii="Times New Roman" w:eastAsia="Times New Roman" w:hAnsi="Times New Roman" w:cs="Times New Roman"/>
          <w:sz w:val="24"/>
          <w:szCs w:val="24"/>
          <w:lang w:eastAsia="es-AR"/>
        </w:rPr>
        <w:t>ARTICULO CUARTO</w:t>
      </w:r>
      <w:r w:rsidR="00201BF9" w:rsidRPr="000B7C96">
        <w:rPr>
          <w:rFonts w:ascii="Times New Roman" w:eastAsia="Times New Roman" w:hAnsi="Times New Roman" w:cs="Times New Roman"/>
          <w:sz w:val="24"/>
          <w:szCs w:val="24"/>
          <w:lang w:eastAsia="es-AR"/>
        </w:rPr>
        <w:t xml:space="preserve">: </w:t>
      </w:r>
      <w:r w:rsidR="008213C0" w:rsidRPr="000B7C96">
        <w:rPr>
          <w:rFonts w:ascii="Times New Roman" w:eastAsia="Times New Roman" w:hAnsi="Times New Roman" w:cs="Times New Roman"/>
          <w:sz w:val="24"/>
          <w:szCs w:val="24"/>
          <w:lang w:eastAsia="es-AR"/>
        </w:rPr>
        <w:t>COMUNIQUESE, COPIESE Y ARCHIVESE.</w:t>
      </w:r>
      <w:r w:rsidR="000B7C96" w:rsidRPr="000B7C96">
        <w:rPr>
          <w:rFonts w:ascii="Times New Roman" w:hAnsi="Times New Roman" w:cs="Times New Roman"/>
          <w:sz w:val="24"/>
        </w:rPr>
        <w:t xml:space="preserve"> </w:t>
      </w:r>
    </w:p>
    <w:sectPr w:rsidR="008213C0" w:rsidRPr="000B7C96" w:rsidSect="000B7C96">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attachedTemplate r:id="rId1"/>
  <w:defaultTabStop w:val="708"/>
  <w:hyphenationZone w:val="425"/>
  <w:drawingGridHorizontalSpacing w:val="110"/>
  <w:displayHorizontalDrawingGridEvery w:val="2"/>
  <w:characterSpacingControl w:val="doNotCompress"/>
  <w:compat/>
  <w:rsids>
    <w:rsidRoot w:val="00B17BC6"/>
    <w:rsid w:val="0003118B"/>
    <w:rsid w:val="00055FC4"/>
    <w:rsid w:val="000B7C96"/>
    <w:rsid w:val="000C11B3"/>
    <w:rsid w:val="000D060B"/>
    <w:rsid w:val="001E27E3"/>
    <w:rsid w:val="001F1D33"/>
    <w:rsid w:val="001F3730"/>
    <w:rsid w:val="00201BF9"/>
    <w:rsid w:val="00253262"/>
    <w:rsid w:val="003203FA"/>
    <w:rsid w:val="00333A26"/>
    <w:rsid w:val="00335277"/>
    <w:rsid w:val="00494EAA"/>
    <w:rsid w:val="004B76CB"/>
    <w:rsid w:val="004C0122"/>
    <w:rsid w:val="004D6840"/>
    <w:rsid w:val="0050529A"/>
    <w:rsid w:val="00572F9D"/>
    <w:rsid w:val="005B234D"/>
    <w:rsid w:val="00644B5A"/>
    <w:rsid w:val="00665301"/>
    <w:rsid w:val="00691DB2"/>
    <w:rsid w:val="006D3B4C"/>
    <w:rsid w:val="006F51B7"/>
    <w:rsid w:val="006F5810"/>
    <w:rsid w:val="00726E8D"/>
    <w:rsid w:val="00747FDC"/>
    <w:rsid w:val="0077486F"/>
    <w:rsid w:val="007832DB"/>
    <w:rsid w:val="00797108"/>
    <w:rsid w:val="007E7792"/>
    <w:rsid w:val="008213C0"/>
    <w:rsid w:val="00853E40"/>
    <w:rsid w:val="008F7145"/>
    <w:rsid w:val="009C09A8"/>
    <w:rsid w:val="00AA1F7B"/>
    <w:rsid w:val="00AC54ED"/>
    <w:rsid w:val="00AE4D30"/>
    <w:rsid w:val="00B17BC6"/>
    <w:rsid w:val="00C25063"/>
    <w:rsid w:val="00CB3FEC"/>
    <w:rsid w:val="00D50DB2"/>
    <w:rsid w:val="00D94044"/>
    <w:rsid w:val="00DB6D83"/>
    <w:rsid w:val="00DC17F5"/>
    <w:rsid w:val="00E309A7"/>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ORDENANZA BIEN.dotx</Template>
  <TotalTime>76</TotalTime>
  <Pages>1</Pages>
  <Words>395</Words>
  <Characters>2176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17</cp:revision>
  <dcterms:created xsi:type="dcterms:W3CDTF">2017-01-12T11:41:00Z</dcterms:created>
  <dcterms:modified xsi:type="dcterms:W3CDTF">2017-06-06T11:50:00Z</dcterms:modified>
</cp:coreProperties>
</file>