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BD1" w:rsidRPr="00C07E2D" w:rsidRDefault="00A00BD1" w:rsidP="00C07E2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07E2D">
        <w:rPr>
          <w:rFonts w:ascii="Times New Roman" w:hAnsi="Times New Roman" w:cs="Times New Roman"/>
          <w:sz w:val="24"/>
          <w:szCs w:val="24"/>
        </w:rPr>
        <w:t>Yerba Buena, 17 de Julio de 1996</w:t>
      </w:r>
    </w:p>
    <w:p w:rsidR="00A00BD1" w:rsidRPr="00C07E2D" w:rsidRDefault="00A00BD1" w:rsidP="00C07E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2D">
        <w:rPr>
          <w:rFonts w:ascii="Times New Roman" w:hAnsi="Times New Roman" w:cs="Times New Roman"/>
          <w:sz w:val="24"/>
          <w:szCs w:val="24"/>
        </w:rPr>
        <w:t>ORDENANZA Nº 882</w:t>
      </w:r>
    </w:p>
    <w:p w:rsidR="00FE7E06" w:rsidRPr="00C07E2D" w:rsidRDefault="00A00BD1" w:rsidP="00C07E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2D">
        <w:rPr>
          <w:rFonts w:ascii="Times New Roman" w:hAnsi="Times New Roman" w:cs="Times New Roman"/>
          <w:sz w:val="24"/>
          <w:szCs w:val="24"/>
        </w:rPr>
        <w:t xml:space="preserve">VISTO: </w:t>
      </w:r>
      <w:r w:rsidR="001F6DC8" w:rsidRPr="00C07E2D">
        <w:rPr>
          <w:rFonts w:ascii="Times New Roman" w:hAnsi="Times New Roman" w:cs="Times New Roman"/>
          <w:sz w:val="24"/>
          <w:szCs w:val="24"/>
        </w:rPr>
        <w:t>La Ordenanza Nº 418, de fecha 30/07/91 y sus modificatorias; y</w:t>
      </w:r>
    </w:p>
    <w:p w:rsidR="00642770" w:rsidRPr="00C07E2D" w:rsidRDefault="00A00BD1" w:rsidP="00C07E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2D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1F6DC8" w:rsidRPr="00C07E2D">
        <w:rPr>
          <w:rFonts w:ascii="Times New Roman" w:hAnsi="Times New Roman" w:cs="Times New Roman"/>
          <w:sz w:val="24"/>
          <w:szCs w:val="24"/>
        </w:rPr>
        <w:t>Que por la misma se crea a partir del 01/07/91, un FONDO ESTIMULO para el personal de la Dirección de Rentas Municipales y el Centro de Cómputos, que estará integrado por las recaudaciones obtenidas por las Contribuciones Municipales que inciden sobre Inmueble, Comercio, Industria y/o Servicios de Cementerios, de recuperación por mejoras, Contribución sobre ocupación de espacio de dominio público, únicamente cuando se trate de empresas privadas, y Tasas de Actualización Administrativa, relacionadas con estas Contribuciones, en las proporciones que se establecen en el Articulo 4º;</w:t>
      </w:r>
    </w:p>
    <w:p w:rsidR="001F6DC8" w:rsidRPr="00C07E2D" w:rsidRDefault="001F6DC8" w:rsidP="00C07E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2D">
        <w:rPr>
          <w:rFonts w:ascii="Times New Roman" w:hAnsi="Times New Roman" w:cs="Times New Roman"/>
          <w:sz w:val="24"/>
          <w:szCs w:val="24"/>
        </w:rPr>
        <w:tab/>
      </w:r>
      <w:r w:rsidRPr="00C07E2D">
        <w:rPr>
          <w:rFonts w:ascii="Times New Roman" w:hAnsi="Times New Roman" w:cs="Times New Roman"/>
          <w:sz w:val="24"/>
          <w:szCs w:val="24"/>
        </w:rPr>
        <w:tab/>
        <w:t xml:space="preserve">Que </w:t>
      </w:r>
      <w:r w:rsidR="005B175D" w:rsidRPr="00C07E2D">
        <w:rPr>
          <w:rFonts w:ascii="Times New Roman" w:hAnsi="Times New Roman" w:cs="Times New Roman"/>
          <w:sz w:val="24"/>
          <w:szCs w:val="24"/>
        </w:rPr>
        <w:t>de los considerandos de dicho acto surge inequívocamente que cuando se dictó, se tuvo en mira el crecimiento de la recaudación tributaria a través de un incentivo de carácter extra-estatutario, no contributivo de servicio alguno y por ello mismo no integrativo de la remuneración de agentes municipales;</w:t>
      </w:r>
    </w:p>
    <w:p w:rsidR="005B175D" w:rsidRPr="00C07E2D" w:rsidRDefault="005B175D" w:rsidP="00C07E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2D">
        <w:rPr>
          <w:rFonts w:ascii="Times New Roman" w:hAnsi="Times New Roman" w:cs="Times New Roman"/>
          <w:sz w:val="24"/>
          <w:szCs w:val="24"/>
        </w:rPr>
        <w:tab/>
      </w:r>
      <w:r w:rsidRPr="00C07E2D">
        <w:rPr>
          <w:rFonts w:ascii="Times New Roman" w:hAnsi="Times New Roman" w:cs="Times New Roman"/>
          <w:sz w:val="24"/>
          <w:szCs w:val="24"/>
        </w:rPr>
        <w:tab/>
        <w:t>Que fácil es de advertir que tal disposición refleja el ejercicio de facultades discrecionales que fue dictada ameritando cuestiones circunstanciales, no creando</w:t>
      </w:r>
      <w:r w:rsidR="00A00BD1" w:rsidRPr="00C07E2D">
        <w:rPr>
          <w:rFonts w:ascii="Times New Roman" w:hAnsi="Times New Roman" w:cs="Times New Roman"/>
          <w:sz w:val="24"/>
          <w:szCs w:val="24"/>
        </w:rPr>
        <w:t xml:space="preserve">, </w:t>
      </w:r>
      <w:r w:rsidRPr="00C07E2D">
        <w:rPr>
          <w:rFonts w:ascii="Times New Roman" w:hAnsi="Times New Roman" w:cs="Times New Roman"/>
          <w:sz w:val="24"/>
          <w:szCs w:val="24"/>
        </w:rPr>
        <w:t xml:space="preserve">desde </w:t>
      </w:r>
      <w:r w:rsidR="00706B32" w:rsidRPr="00C07E2D">
        <w:rPr>
          <w:rFonts w:ascii="Times New Roman" w:hAnsi="Times New Roman" w:cs="Times New Roman"/>
          <w:sz w:val="24"/>
          <w:szCs w:val="24"/>
        </w:rPr>
        <w:t>este punto de vista, derecho subjetivo alguno a la perce</w:t>
      </w:r>
      <w:r w:rsidR="00C936F9" w:rsidRPr="00C07E2D">
        <w:rPr>
          <w:rFonts w:ascii="Times New Roman" w:hAnsi="Times New Roman" w:cs="Times New Roman"/>
          <w:sz w:val="24"/>
          <w:szCs w:val="24"/>
        </w:rPr>
        <w:t>pción futura</w:t>
      </w:r>
      <w:r w:rsidR="00A00BD1" w:rsidRPr="00C07E2D">
        <w:rPr>
          <w:rFonts w:ascii="Times New Roman" w:hAnsi="Times New Roman" w:cs="Times New Roman"/>
          <w:sz w:val="24"/>
          <w:szCs w:val="24"/>
        </w:rPr>
        <w:t xml:space="preserve"> </w:t>
      </w:r>
      <w:r w:rsidR="00C07E2D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C936F9" w:rsidRPr="00C07E2D">
        <w:rPr>
          <w:rFonts w:ascii="Times New Roman" w:hAnsi="Times New Roman" w:cs="Times New Roman"/>
          <w:sz w:val="24"/>
          <w:szCs w:val="24"/>
        </w:rPr>
        <w:t>desde este punto de vista el incentivo es eminentemente aleatorio</w:t>
      </w:r>
      <w:r w:rsidR="00C07E2D">
        <w:rPr>
          <w:rFonts w:ascii="Times New Roman" w:hAnsi="Times New Roman" w:cs="Times New Roman"/>
          <w:sz w:val="24"/>
          <w:szCs w:val="24"/>
        </w:rPr>
        <w:t xml:space="preserve">) </w:t>
      </w:r>
      <w:r w:rsidR="00A00BD1" w:rsidRPr="00C07E2D">
        <w:rPr>
          <w:rFonts w:ascii="Times New Roman" w:hAnsi="Times New Roman" w:cs="Times New Roman"/>
          <w:sz w:val="24"/>
          <w:szCs w:val="24"/>
        </w:rPr>
        <w:t xml:space="preserve"> </w:t>
      </w:r>
      <w:r w:rsidR="00C936F9" w:rsidRPr="00C07E2D">
        <w:rPr>
          <w:rFonts w:ascii="Times New Roman" w:hAnsi="Times New Roman" w:cs="Times New Roman"/>
          <w:sz w:val="24"/>
          <w:szCs w:val="24"/>
        </w:rPr>
        <w:t>menos aún al mantenimiento del régimen sine die;</w:t>
      </w:r>
    </w:p>
    <w:p w:rsidR="00CC2BA6" w:rsidRPr="00C07E2D" w:rsidRDefault="00C936F9" w:rsidP="00C07E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2D">
        <w:rPr>
          <w:rFonts w:ascii="Times New Roman" w:hAnsi="Times New Roman" w:cs="Times New Roman"/>
          <w:sz w:val="24"/>
          <w:szCs w:val="24"/>
        </w:rPr>
        <w:tab/>
      </w:r>
      <w:r w:rsidRPr="00C07E2D">
        <w:rPr>
          <w:rFonts w:ascii="Times New Roman" w:hAnsi="Times New Roman" w:cs="Times New Roman"/>
          <w:sz w:val="24"/>
          <w:szCs w:val="24"/>
        </w:rPr>
        <w:tab/>
        <w:t>Que en ejerció de iguales facultades, es evidente que nada obsta para que se deje sin efecto la mencionada institución o que se disponga su suspensión, implicando un ejercicio razonable de tales facultades atento a que se encuentran en juego intereses superiores derivados de la situación y financiera del Municipio;</w:t>
      </w:r>
    </w:p>
    <w:p w:rsidR="00401567" w:rsidRPr="00C07E2D" w:rsidRDefault="00031789" w:rsidP="00C07E2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7E2D">
        <w:rPr>
          <w:rFonts w:ascii="Times New Roman" w:hAnsi="Times New Roman" w:cs="Times New Roman"/>
          <w:sz w:val="24"/>
          <w:szCs w:val="24"/>
        </w:rPr>
        <w:t xml:space="preserve">POR </w:t>
      </w:r>
      <w:r w:rsidR="00A00BD1" w:rsidRPr="00C07E2D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FE7E06" w:rsidRPr="00C07E2D" w:rsidRDefault="00CE4512" w:rsidP="00C07E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2D">
        <w:rPr>
          <w:rFonts w:ascii="Times New Roman" w:hAnsi="Times New Roman" w:cs="Times New Roman"/>
          <w:sz w:val="24"/>
          <w:szCs w:val="24"/>
        </w:rPr>
        <w:t>ARTICULO PRIMERO</w:t>
      </w:r>
      <w:r w:rsidR="00A00BD1" w:rsidRPr="00C07E2D">
        <w:rPr>
          <w:rFonts w:ascii="Times New Roman" w:hAnsi="Times New Roman" w:cs="Times New Roman"/>
          <w:sz w:val="24"/>
          <w:szCs w:val="24"/>
        </w:rPr>
        <w:t xml:space="preserve">: </w:t>
      </w:r>
      <w:r w:rsidR="00C936F9" w:rsidRPr="00C07E2D">
        <w:rPr>
          <w:rFonts w:ascii="Times New Roman" w:hAnsi="Times New Roman" w:cs="Times New Roman"/>
          <w:sz w:val="24"/>
          <w:szCs w:val="24"/>
        </w:rPr>
        <w:t>SUSPENDASE la vigencia de la Ordenanza Nº 418, de fecha 30/07/91 y sus modificatorias.</w:t>
      </w:r>
    </w:p>
    <w:p w:rsidR="00F80444" w:rsidRPr="00C07E2D" w:rsidRDefault="00CE4512" w:rsidP="00C07E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2D">
        <w:rPr>
          <w:rFonts w:ascii="Times New Roman" w:hAnsi="Times New Roman" w:cs="Times New Roman"/>
          <w:sz w:val="24"/>
          <w:szCs w:val="24"/>
        </w:rPr>
        <w:t>ARTICULO SEGUNDO</w:t>
      </w:r>
      <w:r w:rsidR="00A00BD1" w:rsidRPr="00C07E2D">
        <w:rPr>
          <w:rFonts w:ascii="Times New Roman" w:hAnsi="Times New Roman" w:cs="Times New Roman"/>
          <w:sz w:val="24"/>
          <w:szCs w:val="24"/>
        </w:rPr>
        <w:t xml:space="preserve">: </w:t>
      </w:r>
      <w:r w:rsidR="00C936F9" w:rsidRPr="00C07E2D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C07E2D" w:rsidRPr="00C07E2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C07E2D" w:rsidSect="00C07E2D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81675"/>
    <w:rsid w:val="000A142D"/>
    <w:rsid w:val="000C41ED"/>
    <w:rsid w:val="0017500D"/>
    <w:rsid w:val="001977FE"/>
    <w:rsid w:val="001F67C2"/>
    <w:rsid w:val="001F6DC8"/>
    <w:rsid w:val="002730B9"/>
    <w:rsid w:val="002C36A6"/>
    <w:rsid w:val="002D0AFE"/>
    <w:rsid w:val="00313F47"/>
    <w:rsid w:val="00315B94"/>
    <w:rsid w:val="00401567"/>
    <w:rsid w:val="00404A66"/>
    <w:rsid w:val="0041286A"/>
    <w:rsid w:val="004D11B4"/>
    <w:rsid w:val="004E72D5"/>
    <w:rsid w:val="005356E0"/>
    <w:rsid w:val="005B175D"/>
    <w:rsid w:val="005C0E57"/>
    <w:rsid w:val="005C46D5"/>
    <w:rsid w:val="00625207"/>
    <w:rsid w:val="00642770"/>
    <w:rsid w:val="00706B32"/>
    <w:rsid w:val="0073064C"/>
    <w:rsid w:val="0073752F"/>
    <w:rsid w:val="007B5285"/>
    <w:rsid w:val="007E684D"/>
    <w:rsid w:val="00861CFB"/>
    <w:rsid w:val="008E469C"/>
    <w:rsid w:val="0090799B"/>
    <w:rsid w:val="009207A2"/>
    <w:rsid w:val="00983EFC"/>
    <w:rsid w:val="009B26B4"/>
    <w:rsid w:val="00A00BD1"/>
    <w:rsid w:val="00A057EB"/>
    <w:rsid w:val="00A93BB4"/>
    <w:rsid w:val="00AC1EA8"/>
    <w:rsid w:val="00AE7D49"/>
    <w:rsid w:val="00B96ECD"/>
    <w:rsid w:val="00BA6ED6"/>
    <w:rsid w:val="00C07E2D"/>
    <w:rsid w:val="00C3356C"/>
    <w:rsid w:val="00C428AF"/>
    <w:rsid w:val="00C70300"/>
    <w:rsid w:val="00C936F9"/>
    <w:rsid w:val="00CC2BA6"/>
    <w:rsid w:val="00CE4512"/>
    <w:rsid w:val="00D76C80"/>
    <w:rsid w:val="00DC4C94"/>
    <w:rsid w:val="00DC6031"/>
    <w:rsid w:val="00E0728B"/>
    <w:rsid w:val="00EB1BEE"/>
    <w:rsid w:val="00F70E0C"/>
    <w:rsid w:val="00F80444"/>
    <w:rsid w:val="00FE7E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13</cp:revision>
  <dcterms:created xsi:type="dcterms:W3CDTF">2016-12-22T22:41:00Z</dcterms:created>
  <dcterms:modified xsi:type="dcterms:W3CDTF">2017-06-06T11:53:00Z</dcterms:modified>
</cp:coreProperties>
</file>