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53C8" w:rsidRPr="00971AC3" w:rsidRDefault="00CD53C8" w:rsidP="00971AC3">
      <w:pPr>
        <w:spacing w:line="240" w:lineRule="auto"/>
        <w:jc w:val="right"/>
        <w:rPr>
          <w:rFonts w:ascii="Times New Roman" w:hAnsi="Times New Roman"/>
          <w:sz w:val="24"/>
        </w:rPr>
      </w:pPr>
      <w:r w:rsidRPr="00971AC3">
        <w:rPr>
          <w:rFonts w:ascii="Times New Roman" w:hAnsi="Times New Roman"/>
          <w:sz w:val="24"/>
        </w:rPr>
        <w:t>Yerba Buena, 02 de Septiembre de 1998</w:t>
      </w:r>
    </w:p>
    <w:p w:rsidR="00CD53C8" w:rsidRPr="00971AC3" w:rsidRDefault="00CD53C8" w:rsidP="00971AC3">
      <w:pPr>
        <w:spacing w:line="240" w:lineRule="auto"/>
        <w:jc w:val="left"/>
        <w:rPr>
          <w:rFonts w:ascii="Times New Roman" w:hAnsi="Times New Roman"/>
          <w:sz w:val="24"/>
        </w:rPr>
      </w:pPr>
      <w:r w:rsidRPr="00971AC3">
        <w:rPr>
          <w:rFonts w:ascii="Times New Roman" w:hAnsi="Times New Roman"/>
          <w:sz w:val="24"/>
        </w:rPr>
        <w:t>ORDENANZA Nº 945</w:t>
      </w:r>
    </w:p>
    <w:p w:rsidR="00E34AE4" w:rsidRPr="00971AC3" w:rsidRDefault="00CD53C8" w:rsidP="00971AC3">
      <w:pPr>
        <w:spacing w:line="240" w:lineRule="auto"/>
        <w:rPr>
          <w:rFonts w:ascii="Times New Roman" w:hAnsi="Times New Roman"/>
          <w:sz w:val="24"/>
        </w:rPr>
      </w:pPr>
      <w:r w:rsidRPr="00971AC3">
        <w:rPr>
          <w:rFonts w:ascii="Times New Roman" w:hAnsi="Times New Roman"/>
          <w:sz w:val="24"/>
        </w:rPr>
        <w:t xml:space="preserve">VISTO: </w:t>
      </w:r>
      <w:r w:rsidR="00720772" w:rsidRPr="00971AC3">
        <w:rPr>
          <w:rFonts w:ascii="Times New Roman" w:hAnsi="Times New Roman"/>
          <w:sz w:val="24"/>
        </w:rPr>
        <w:t>El Expte. Nº 205-Y-98, mediante el cual el Departamento Ejecutivo Muncipal eleva el Expte. Nº 5.602-M17-V-98 y agregados, relacionado con la forma de pago de los lotes de la ex via Norte, ubicados sobre Av. Aconquija; y</w:t>
      </w:r>
    </w:p>
    <w:p w:rsidR="00720772" w:rsidRPr="00971AC3" w:rsidRDefault="00CD53C8" w:rsidP="00971AC3">
      <w:pPr>
        <w:spacing w:line="240" w:lineRule="auto"/>
        <w:rPr>
          <w:rFonts w:ascii="Times New Roman" w:hAnsi="Times New Roman"/>
          <w:sz w:val="24"/>
        </w:rPr>
      </w:pPr>
      <w:r w:rsidRPr="00971AC3">
        <w:rPr>
          <w:rFonts w:ascii="Times New Roman" w:hAnsi="Times New Roman"/>
          <w:sz w:val="24"/>
        </w:rPr>
        <w:t xml:space="preserve">CONSIDERANDO: </w:t>
      </w:r>
      <w:r w:rsidR="00551321" w:rsidRPr="00971AC3">
        <w:rPr>
          <w:rFonts w:ascii="Times New Roman" w:hAnsi="Times New Roman"/>
          <w:sz w:val="24"/>
        </w:rPr>
        <w:t xml:space="preserve">Que </w:t>
      </w:r>
      <w:r w:rsidR="00720772" w:rsidRPr="00971AC3">
        <w:rPr>
          <w:rFonts w:ascii="Times New Roman" w:hAnsi="Times New Roman"/>
          <w:sz w:val="24"/>
        </w:rPr>
        <w:t>a través de las citadas actuaciones los ocupantes de los lotes identificados con los números 54 y55 plantean la desigualdad en la forma de pago establecida por la Ordenanza Nº 891 del 12 de Diciembre de 1.997, y solicitan un trato igual al resto de los adquirentes que les permita hacer frente a este compromiso, ya que les es imposible cumplir con lo dispuesto por la citada ordenanza;</w:t>
      </w:r>
    </w:p>
    <w:p w:rsidR="00B923D8" w:rsidRPr="00971AC3" w:rsidRDefault="00720772" w:rsidP="00971AC3">
      <w:pPr>
        <w:spacing w:line="240" w:lineRule="auto"/>
        <w:rPr>
          <w:rFonts w:ascii="Times New Roman" w:hAnsi="Times New Roman"/>
          <w:sz w:val="24"/>
        </w:rPr>
      </w:pPr>
      <w:r w:rsidRPr="00971AC3">
        <w:rPr>
          <w:rFonts w:ascii="Times New Roman" w:hAnsi="Times New Roman"/>
          <w:sz w:val="24"/>
        </w:rPr>
        <w:t>Que resulta entendible lo peticionado por los presentantes;</w:t>
      </w:r>
    </w:p>
    <w:p w:rsidR="002D575E" w:rsidRPr="00971AC3" w:rsidRDefault="00551321" w:rsidP="00971AC3">
      <w:pPr>
        <w:spacing w:line="240" w:lineRule="auto"/>
        <w:jc w:val="center"/>
        <w:rPr>
          <w:rFonts w:ascii="Times New Roman" w:hAnsi="Times New Roman"/>
          <w:sz w:val="24"/>
        </w:rPr>
      </w:pPr>
      <w:r w:rsidRPr="00971AC3">
        <w:rPr>
          <w:rFonts w:ascii="Times New Roman" w:hAnsi="Times New Roman"/>
          <w:sz w:val="24"/>
        </w:rPr>
        <w:t xml:space="preserve">POR </w:t>
      </w:r>
      <w:r w:rsidR="00CD53C8" w:rsidRPr="00971AC3">
        <w:rPr>
          <w:rFonts w:ascii="Times New Roman" w:hAnsi="Times New Roman"/>
          <w:sz w:val="24"/>
        </w:rPr>
        <w:t>EL CONCEJO DELIBERANTE SANCIONA CON FUERZA DE ORDENANZA</w:t>
      </w:r>
      <w:r w:rsidR="002D575E" w:rsidRPr="00971AC3">
        <w:rPr>
          <w:rFonts w:ascii="Times New Roman" w:hAnsi="Times New Roman"/>
          <w:sz w:val="24"/>
        </w:rPr>
        <w:t>:</w:t>
      </w:r>
    </w:p>
    <w:p w:rsidR="00720772" w:rsidRPr="00971AC3" w:rsidRDefault="00426F5E" w:rsidP="00971AC3">
      <w:pPr>
        <w:spacing w:line="240" w:lineRule="auto"/>
        <w:rPr>
          <w:rFonts w:ascii="Times New Roman" w:hAnsi="Times New Roman"/>
          <w:sz w:val="24"/>
        </w:rPr>
      </w:pPr>
      <w:r w:rsidRPr="00971AC3">
        <w:rPr>
          <w:rFonts w:ascii="Times New Roman" w:hAnsi="Times New Roman"/>
          <w:sz w:val="24"/>
        </w:rPr>
        <w:t>ARTICULO PRIMERO</w:t>
      </w:r>
      <w:r w:rsidR="00CD53C8" w:rsidRPr="00971AC3">
        <w:rPr>
          <w:rFonts w:ascii="Times New Roman" w:hAnsi="Times New Roman"/>
          <w:sz w:val="24"/>
        </w:rPr>
        <w:t xml:space="preserve">: </w:t>
      </w:r>
      <w:r w:rsidR="00720772" w:rsidRPr="00971AC3">
        <w:rPr>
          <w:rFonts w:ascii="Times New Roman" w:hAnsi="Times New Roman"/>
          <w:sz w:val="24"/>
        </w:rPr>
        <w:t>MODIFICASE el artículo sexto de la Ordenanza Nº 891 del 12 de diciembre de 1.997, el que quedará redactado de la siguiente forma:</w:t>
      </w:r>
    </w:p>
    <w:p w:rsidR="00551321" w:rsidRPr="00971AC3" w:rsidRDefault="00720772" w:rsidP="00971AC3">
      <w:pPr>
        <w:spacing w:line="240" w:lineRule="auto"/>
        <w:rPr>
          <w:rFonts w:ascii="Times New Roman" w:hAnsi="Times New Roman"/>
          <w:sz w:val="24"/>
        </w:rPr>
      </w:pPr>
      <w:r w:rsidRPr="00971AC3">
        <w:rPr>
          <w:rFonts w:ascii="Times New Roman" w:hAnsi="Times New Roman"/>
          <w:sz w:val="24"/>
        </w:rPr>
        <w:t>“Artículo Sexto: Para el caso de los lotes 54 y 55 que están excluidos en el censo de 1.985, la forma de pago será la siguiente: para la unidad 54: 60</w:t>
      </w:r>
      <w:r w:rsidR="00CD53C8" w:rsidRPr="00971AC3">
        <w:rPr>
          <w:rFonts w:ascii="Times New Roman" w:hAnsi="Times New Roman"/>
          <w:sz w:val="24"/>
        </w:rPr>
        <w:t xml:space="preserve"> </w:t>
      </w:r>
      <w:r w:rsidR="00971AC3">
        <w:rPr>
          <w:rFonts w:ascii="Times New Roman" w:hAnsi="Times New Roman"/>
          <w:sz w:val="24"/>
        </w:rPr>
        <w:t xml:space="preserve">                    (</w:t>
      </w:r>
      <w:r w:rsidRPr="00971AC3">
        <w:rPr>
          <w:rFonts w:ascii="Times New Roman" w:hAnsi="Times New Roman"/>
          <w:sz w:val="24"/>
        </w:rPr>
        <w:t>sesenta</w:t>
      </w:r>
      <w:r w:rsidR="00971AC3">
        <w:rPr>
          <w:rFonts w:ascii="Times New Roman" w:hAnsi="Times New Roman"/>
          <w:sz w:val="24"/>
        </w:rPr>
        <w:t xml:space="preserve">) </w:t>
      </w:r>
      <w:r w:rsidR="00CD53C8" w:rsidRPr="00971AC3">
        <w:rPr>
          <w:rFonts w:ascii="Times New Roman" w:hAnsi="Times New Roman"/>
          <w:sz w:val="24"/>
        </w:rPr>
        <w:t xml:space="preserve"> </w:t>
      </w:r>
      <w:r w:rsidRPr="00971AC3">
        <w:rPr>
          <w:rFonts w:ascii="Times New Roman" w:hAnsi="Times New Roman"/>
          <w:sz w:val="24"/>
        </w:rPr>
        <w:t>cuotas iguales y consecutivas; para la unidad 55: 15</w:t>
      </w:r>
      <w:r w:rsidR="00CD53C8" w:rsidRPr="00971AC3">
        <w:rPr>
          <w:rFonts w:ascii="Times New Roman" w:hAnsi="Times New Roman"/>
          <w:sz w:val="24"/>
        </w:rPr>
        <w:t xml:space="preserve"> </w:t>
      </w:r>
      <w:r w:rsidR="00971AC3">
        <w:rPr>
          <w:rFonts w:ascii="Times New Roman" w:hAnsi="Times New Roman"/>
          <w:sz w:val="24"/>
        </w:rPr>
        <w:t xml:space="preserve">                    (</w:t>
      </w:r>
      <w:r w:rsidRPr="00971AC3">
        <w:rPr>
          <w:rFonts w:ascii="Times New Roman" w:hAnsi="Times New Roman"/>
          <w:sz w:val="24"/>
        </w:rPr>
        <w:t>quince</w:t>
      </w:r>
      <w:r w:rsidR="00971AC3">
        <w:rPr>
          <w:rFonts w:ascii="Times New Roman" w:hAnsi="Times New Roman"/>
          <w:sz w:val="24"/>
        </w:rPr>
        <w:t xml:space="preserve">) </w:t>
      </w:r>
      <w:r w:rsidR="00CD53C8" w:rsidRPr="00971AC3">
        <w:rPr>
          <w:rFonts w:ascii="Times New Roman" w:hAnsi="Times New Roman"/>
          <w:sz w:val="24"/>
        </w:rPr>
        <w:t xml:space="preserve"> </w:t>
      </w:r>
      <w:r w:rsidRPr="00971AC3">
        <w:rPr>
          <w:rFonts w:ascii="Times New Roman" w:hAnsi="Times New Roman"/>
          <w:sz w:val="24"/>
        </w:rPr>
        <w:t>cuotas iguales y consecutivas.”</w:t>
      </w:r>
    </w:p>
    <w:p w:rsidR="006F2884" w:rsidRPr="00971AC3" w:rsidRDefault="00426F5E" w:rsidP="00971AC3">
      <w:pPr>
        <w:spacing w:line="240" w:lineRule="auto"/>
        <w:rPr>
          <w:rFonts w:ascii="Times New Roman" w:hAnsi="Times New Roman"/>
          <w:sz w:val="24"/>
        </w:rPr>
      </w:pPr>
      <w:r w:rsidRPr="00971AC3">
        <w:rPr>
          <w:rFonts w:ascii="Times New Roman" w:hAnsi="Times New Roman"/>
          <w:sz w:val="24"/>
        </w:rPr>
        <w:t>ARTICULO SEGUNDO</w:t>
      </w:r>
      <w:r w:rsidR="00CD53C8" w:rsidRPr="00971AC3">
        <w:rPr>
          <w:rFonts w:ascii="Times New Roman" w:hAnsi="Times New Roman"/>
          <w:sz w:val="24"/>
        </w:rPr>
        <w:t xml:space="preserve">: </w:t>
      </w:r>
      <w:r w:rsidR="003E657F" w:rsidRPr="00971AC3">
        <w:rPr>
          <w:rFonts w:ascii="Times New Roman" w:hAnsi="Times New Roman"/>
          <w:sz w:val="24"/>
        </w:rPr>
        <w:t>COMUNÍQUESE, CÓPIESE y ARCHÍVESE.</w:t>
      </w:r>
      <w:r w:rsidR="00971AC3" w:rsidRPr="00971AC3">
        <w:rPr>
          <w:rFonts w:ascii="Times New Roman" w:hAnsi="Times New Roman"/>
          <w:sz w:val="24"/>
        </w:rPr>
        <w:t xml:space="preserve"> </w:t>
      </w:r>
    </w:p>
    <w:sectPr w:rsidR="006F2884" w:rsidRPr="00971AC3" w:rsidSect="00971AC3">
      <w:headerReference w:type="default" r:id="rId8"/>
      <w:pgSz w:w="11906" w:h="16838"/>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72530" w:rsidRDefault="00B72530" w:rsidP="00551321">
      <w:pPr>
        <w:spacing w:after="0" w:line="240" w:lineRule="auto"/>
      </w:pPr>
      <w:r>
        <w:separator/>
      </w:r>
    </w:p>
  </w:endnote>
  <w:endnote w:type="continuationSeparator" w:id="1">
    <w:p w:rsidR="00B72530" w:rsidRDefault="00B72530" w:rsidP="0055132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72530" w:rsidRDefault="00B72530" w:rsidP="00551321">
      <w:pPr>
        <w:spacing w:after="0" w:line="240" w:lineRule="auto"/>
      </w:pPr>
      <w:r>
        <w:separator/>
      </w:r>
    </w:p>
  </w:footnote>
  <w:footnote w:type="continuationSeparator" w:id="1">
    <w:p w:rsidR="00B72530" w:rsidRDefault="00B72530" w:rsidP="0055132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1321" w:rsidRPr="00551321" w:rsidRDefault="00551321" w:rsidP="00551321">
    <w:pPr>
      <w:pStyle w:val="Encabezado"/>
      <w:jc w:val="right"/>
      <w:rPr>
        <w:rFonts w:ascii="Times New Roman" w:hAnsi="Times New Roman"/>
      </w:rPr>
    </w:pPr>
    <w:r w:rsidRPr="00551321">
      <w:rPr>
        <w:rFonts w:ascii="Times New Roman" w:hAnsi="Times New Roman"/>
      </w:rPr>
      <w:t>1.998 – AÑO DE LOS MUNICIPIOS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551321"/>
    <w:rsid w:val="00067052"/>
    <w:rsid w:val="000776C1"/>
    <w:rsid w:val="000D6F58"/>
    <w:rsid w:val="00222916"/>
    <w:rsid w:val="002C25BB"/>
    <w:rsid w:val="002D575E"/>
    <w:rsid w:val="002F6982"/>
    <w:rsid w:val="003A679A"/>
    <w:rsid w:val="003E657F"/>
    <w:rsid w:val="00426F5E"/>
    <w:rsid w:val="00441FC3"/>
    <w:rsid w:val="00551321"/>
    <w:rsid w:val="005952EA"/>
    <w:rsid w:val="006F2884"/>
    <w:rsid w:val="00720772"/>
    <w:rsid w:val="00732F62"/>
    <w:rsid w:val="007B73E1"/>
    <w:rsid w:val="007D0BF2"/>
    <w:rsid w:val="007D0EB6"/>
    <w:rsid w:val="007E6ABD"/>
    <w:rsid w:val="007F1AB9"/>
    <w:rsid w:val="0081019D"/>
    <w:rsid w:val="00971AC3"/>
    <w:rsid w:val="009A5F29"/>
    <w:rsid w:val="00A51091"/>
    <w:rsid w:val="00A703B2"/>
    <w:rsid w:val="00B72530"/>
    <w:rsid w:val="00B923D8"/>
    <w:rsid w:val="00BB2ED4"/>
    <w:rsid w:val="00BD75AB"/>
    <w:rsid w:val="00C049C7"/>
    <w:rsid w:val="00C53DBC"/>
    <w:rsid w:val="00CD53C8"/>
    <w:rsid w:val="00CE1123"/>
    <w:rsid w:val="00CE22BE"/>
    <w:rsid w:val="00D4096A"/>
    <w:rsid w:val="00D95C2D"/>
    <w:rsid w:val="00E34AE4"/>
    <w:rsid w:val="00E47BB3"/>
    <w:rsid w:val="00E6519F"/>
    <w:rsid w:val="00E72148"/>
    <w:rsid w:val="00FC46AD"/>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551321"/>
    <w:pPr>
      <w:tabs>
        <w:tab w:val="center" w:pos="4419"/>
        <w:tab w:val="right" w:pos="8838"/>
      </w:tabs>
    </w:pPr>
  </w:style>
  <w:style w:type="character" w:customStyle="1" w:styleId="EncabezadoCar">
    <w:name w:val="Encabezado Car"/>
    <w:basedOn w:val="Fuentedeprrafopredeter"/>
    <w:link w:val="Encabezado"/>
    <w:uiPriority w:val="99"/>
    <w:semiHidden/>
    <w:rsid w:val="00551321"/>
    <w:rPr>
      <w:sz w:val="22"/>
      <w:szCs w:val="22"/>
      <w:lang w:eastAsia="en-US"/>
    </w:rPr>
  </w:style>
  <w:style w:type="paragraph" w:styleId="Piedepgina">
    <w:name w:val="footer"/>
    <w:basedOn w:val="Normal"/>
    <w:link w:val="PiedepginaCar"/>
    <w:uiPriority w:val="99"/>
    <w:semiHidden/>
    <w:unhideWhenUsed/>
    <w:rsid w:val="00551321"/>
    <w:pPr>
      <w:tabs>
        <w:tab w:val="center" w:pos="4419"/>
        <w:tab w:val="right" w:pos="8838"/>
      </w:tabs>
    </w:pPr>
  </w:style>
  <w:style w:type="character" w:customStyle="1" w:styleId="PiedepginaCar">
    <w:name w:val="Pie de página Car"/>
    <w:basedOn w:val="Fuentedeprrafopredeter"/>
    <w:link w:val="Piedepgina"/>
    <w:uiPriority w:val="99"/>
    <w:semiHidden/>
    <w:rsid w:val="00551321"/>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700C7F-72EE-44A9-AE10-6EE41D90E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Ordenanzas.dot</Template>
  <TotalTime>23</TotalTime>
  <Pages>1</Pages>
  <Words>200</Words>
  <Characters>1106</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12</cp:revision>
  <dcterms:created xsi:type="dcterms:W3CDTF">2017-01-19T22:03:00Z</dcterms:created>
  <dcterms:modified xsi:type="dcterms:W3CDTF">2017-06-06T11:53:00Z</dcterms:modified>
</cp:coreProperties>
</file>