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F7AFD" w:rsidRPr="009E17E5" w:rsidRDefault="00DF7AFD" w:rsidP="009E17E5">
      <w:pPr>
        <w:spacing w:line="240" w:lineRule="auto"/>
        <w:jc w:val="right"/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Yerba Buena, 23 de Marzo de 2001</w:t>
      </w:r>
    </w:p>
    <w:p w:rsidR="00DF7AFD" w:rsidRPr="009E17E5" w:rsidRDefault="00DF7AFD" w:rsidP="009E17E5">
      <w:pPr>
        <w:spacing w:line="240" w:lineRule="auto"/>
        <w:jc w:val="left"/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ORDENANZA Nº 1150</w:t>
      </w:r>
    </w:p>
    <w:p w:rsidR="006B49C4" w:rsidRPr="009E17E5" w:rsidRDefault="00DF7AFD" w:rsidP="009E17E5">
      <w:pPr>
        <w:spacing w:line="240" w:lineRule="auto"/>
        <w:jc w:val="left"/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VISTO: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la Actuación N° 831 / 01 mediante la cual la Señora Asesora Letrada de esta Municipalidad emite informe y dictamen con respecto a las disposiciones de la Ordenanza número 821 / 97, su vigencia, consideraciones sobre su adecuación a la Ley 5529 y el alcance de la misma a la fecha; y</w:t>
      </w:r>
    </w:p>
    <w:p w:rsidR="00D41D9D" w:rsidRPr="009E17E5" w:rsidRDefault="00D41D9D" w:rsidP="009E17E5">
      <w:pPr>
        <w:spacing w:line="240" w:lineRule="auto"/>
        <w:jc w:val="left"/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CONSIDERANDO.</w:t>
      </w:r>
    </w:p>
    <w:p w:rsidR="002B6285" w:rsidRPr="009E17E5" w:rsidRDefault="00D41D9D" w:rsidP="009E17E5">
      <w:pPr>
        <w:spacing w:line="240" w:lineRule="auto"/>
        <w:jc w:val="left"/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Que, en primer lugar, analizó los antecedentes para el dictado de la citada Ordenanza, que tiene como base el Expte.</w:t>
      </w:r>
      <w:r w:rsidR="00DF7AF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</w:t>
      </w:r>
      <w:r w:rsid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                   (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HCD</w:t>
      </w:r>
      <w:r w:rsid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) </w:t>
      </w:r>
      <w:r w:rsidR="00DF7AF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N° 080-Y-97, iniciado por la Municipalidad de Yerba Buena s/ eleva antecedentes y proyecto de ordenanza relacionado con el proyecto de red de gas natural, en los que se observa q</w:t>
      </w:r>
      <w:r w:rsidR="002B6285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ue dentro de las peticiones de Gasnor se encuentra el inc. d</w:t>
      </w:r>
      <w:r w:rsid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) </w:t>
      </w:r>
      <w:r w:rsidR="00DF7AF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</w:t>
      </w:r>
      <w:r w:rsidR="002B6285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por el cual solicita que el Ejecutivo M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unicipal se</w:t>
      </w:r>
      <w:r w:rsidR="002B6285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a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autorizado a garantizar los crédito</w:t>
      </w:r>
      <w:r w:rsidR="002B6285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s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que tomen los vecinos para la </w:t>
      </w:r>
      <w:r w:rsidR="002B6285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concreción de obra externa;</w:t>
      </w:r>
    </w:p>
    <w:p w:rsidR="00C20B7D" w:rsidRPr="009E17E5" w:rsidRDefault="002B6285" w:rsidP="009E17E5">
      <w:pPr>
        <w:spacing w:line="240" w:lineRule="auto"/>
        <w:jc w:val="left"/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Q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ué tal 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pedido da origen a los Art. 4 y 5,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lo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s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que disponen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: Art.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4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° “Garantizase a Gasnor S.A.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el pago de los créd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itos que tomen los vecinos del M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unicipio para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la concreción de la red externa referida en el Art.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11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con el importe de las contribuciones que inciden sobre la instalación y suministro de gas natural correspondiente a los clientes que se conecten sobre la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s redes señaladas en el citado A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rtículo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” y Art. 5°, “Gasnor S.A.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podrá hacer efectiva la gar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antía otorgada según el Art. 4°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una vez que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habiendo intimado en no menos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de dos oportunidades a los vecinos morosos, los mismos no hayaregularizado su situación de pag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o y presenten un retraso de más de 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cuatro</w:t>
      </w:r>
      <w:r w:rsidR="00DF7AF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</w:t>
      </w:r>
      <w:r w:rsid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                   (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4</w:t>
      </w:r>
      <w:r w:rsid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) </w:t>
      </w:r>
      <w:r w:rsidR="00DF7AF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meses en el cumplimiento del plan de financiación acordado por la red externa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. E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n estos casos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deberá producirse la automática caducidad de los plazos pactados en el citado plan de financiación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</w:t>
      </w:r>
      <w:r w:rsidR="006B49C4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debiendo Gasnor S.A.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proceder al corte del suministro de gas natural de acuerdo a lo establecido en los reglamentos respectivos y quedando autorizado a retener las contrib</w:t>
      </w:r>
      <w:r w:rsidR="00C20B7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uciones a la que se refiere el Artículo 4° e imputarlas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al cumplimiento de l</w:t>
      </w:r>
      <w:r w:rsidR="00C20B7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a garantía que por la presente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ordenanza se otorga</w:t>
      </w:r>
      <w:r w:rsidR="00C20B7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. E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n la oportunidad que se produzcan tales retenciones</w:t>
      </w:r>
      <w:r w:rsidR="00C20B7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 la Municipalidad se subrogará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en los derecho</w:t>
      </w:r>
      <w:r w:rsidR="00C20B7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s y acciones que le competen a Gasnor S.A.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contra los tomadores de cada uno de los créditos respecto de los cuales se hubiere ejecutado la garantía otorgada</w:t>
      </w:r>
      <w:r w:rsidR="00C20B7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”;</w:t>
      </w:r>
    </w:p>
    <w:p w:rsidR="000373D6" w:rsidRPr="009E17E5" w:rsidRDefault="00C20B7D" w:rsidP="009E17E5">
      <w:pPr>
        <w:spacing w:line="240" w:lineRule="auto"/>
        <w:jc w:val="left"/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Que la Constitución de la Provincia en su Art. 63, inc. 14, establece que corresponde al Poder L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egislativo orga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nizar el régimen municipal,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según las bases establecid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as en esta Constitución Art.</w:t>
      </w:r>
      <w:r w:rsidR="007E4FA0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11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3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: L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a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L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ey sin perjuicio de las atribuciones que corresponden a la provincia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determinará las funciones a cumplir por las municipalidades</w:t>
      </w:r>
      <w:r w:rsidR="007E4FA0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,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conforme sus respectivas categorías</w:t>
      </w:r>
      <w:r w:rsidR="007E4FA0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referente a las siguientes áreas</w:t>
      </w:r>
      <w:r w:rsidR="007E4FA0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: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obras y servicios públicos</w:t>
      </w:r>
      <w:r w:rsidR="007E4FA0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orden y seguridad e</w:t>
      </w:r>
      <w:r w:rsidR="007E4FA0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n el tránsito y t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ransporte</w:t>
      </w:r>
      <w:r w:rsidR="007E4FA0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higiene y moralidad de públicas sal</w:t>
      </w:r>
      <w:r w:rsidR="007E4FA0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ubridad y asistencia social,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fomento instituciones de cultura</w:t>
      </w:r>
      <w:r w:rsidR="007E4FA0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 como intelectual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y física</w:t>
      </w:r>
      <w:r w:rsidR="007E4FA0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. P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rotección del medio ambiente</w:t>
      </w:r>
      <w:r w:rsidR="007E4FA0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. R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ecreación</w:t>
      </w:r>
      <w:r w:rsidR="000373D6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 turismo y deportes. S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ervicios bancarios y previsión social y cualquier otra función relacionada con los intereses locales de</w:t>
      </w:r>
      <w:r w:rsidR="000373D6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ntro del marco de la ley de o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rganización de municipalidad</w:t>
      </w:r>
      <w:r w:rsidR="000373D6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ades;</w:t>
      </w:r>
    </w:p>
    <w:p w:rsidR="00CC1838" w:rsidRPr="009E17E5" w:rsidRDefault="000373D6" w:rsidP="009E17E5">
      <w:pPr>
        <w:spacing w:line="240" w:lineRule="auto"/>
        <w:jc w:val="left"/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Q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ue 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con relación a este artículo cabe</w:t>
      </w:r>
      <w:r w:rsidR="00CC1838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analizar si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la luz</w:t>
      </w:r>
      <w:r w:rsidR="00CC1838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de la Ley 5529 Orgánica de la Municipalidad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es dable garantizar a una empresa la percepción de los créd</w:t>
      </w:r>
      <w:r w:rsidR="00CC1838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itos que tomen los vecinos del M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unicipio para la concr</w:t>
      </w:r>
      <w:r w:rsidR="00CC1838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eción de la red externa, etc.,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con el importe de las contribuciones que inciden sobre la instalación y suministro del gas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lastRenderedPageBreak/>
        <w:t>natural</w:t>
      </w:r>
      <w:r w:rsidR="00CC1838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correspondiente a los clientes que se conecten sobre las redes</w:t>
      </w:r>
      <w:r w:rsidR="00CC1838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señalada en el citado Artículo;</w:t>
      </w:r>
    </w:p>
    <w:p w:rsidR="005B1A51" w:rsidRPr="009E17E5" w:rsidRDefault="00CC1838" w:rsidP="009E17E5">
      <w:pPr>
        <w:spacing w:line="240" w:lineRule="auto"/>
        <w:jc w:val="left"/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Q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u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e las facultades conferidas al Concejo Deliberante en su Art.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24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no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s urge que puedan autorizar al Departamento E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jecutivo a garantizar una deuda de los vecinos con una emp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resa privada en el M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unicipio para la colocació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n de la red de gas. E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l inciso 19</w:t>
      </w:r>
      <w:r w:rsid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) </w:t>
      </w:r>
      <w:r w:rsidR="00DF7AF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de este artículo dice que puede 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“autorizar al D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epartamento ejecutivo para hacer uso del crédito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dentro de las asignaciones fijadas anualmente por la ordenanza del presupuesto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”. E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l inciso 22</w:t>
      </w:r>
      <w:r w:rsid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) </w:t>
      </w:r>
      <w:r w:rsidR="00DF7AF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</w:t>
      </w:r>
      <w:r w:rsidR="006D478B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expresa autorizar al Departamento E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jecutivo </w:t>
      </w:r>
      <w:r w:rsidR="006D478B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a </w:t>
      </w:r>
      <w:r w:rsidR="005B1A5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celebrar</w:t>
      </w:r>
      <w:r w:rsidR="006B49C4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convenio</w:t>
      </w:r>
      <w:r w:rsidR="005B1A5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s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intermunicipal</w:t>
      </w:r>
      <w:r w:rsidR="005B1A5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es o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co</w:t>
      </w:r>
      <w:r w:rsidR="005B1A5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n participación de la N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ación</w:t>
      </w:r>
      <w:r w:rsidR="005B1A5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</w:t>
      </w:r>
      <w:r w:rsidR="006B49C4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</w:t>
      </w:r>
      <w:r w:rsidR="005B1A5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P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rovincia </w:t>
      </w:r>
      <w:r w:rsidR="005B1A5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o los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vecinos del municipio para que la presentación de servicio</w:t>
      </w:r>
      <w:r w:rsidR="005B1A5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s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público</w:t>
      </w:r>
      <w:r w:rsidR="005B1A5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s y la realización de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obra</w:t>
      </w:r>
      <w:r w:rsidR="005B1A5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s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pública</w:t>
      </w:r>
      <w:r w:rsidR="005B1A5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s;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como así también para</w:t>
      </w:r>
      <w:r w:rsidR="005B1A5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planes comunes de desarrollo”</w:t>
      </w:r>
    </w:p>
    <w:p w:rsidR="005B1A51" w:rsidRPr="009E17E5" w:rsidRDefault="00D41D9D" w:rsidP="009E17E5">
      <w:pPr>
        <w:spacing w:line="240" w:lineRule="auto"/>
        <w:jc w:val="left"/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Que dentro de la facultad</w:t>
      </w:r>
      <w:r w:rsidR="005B1A5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es de del Departamento E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jecutivo y sus oblig</w:t>
      </w:r>
      <w:r w:rsidR="005B1A5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aciones se encuentra el Art. 47, inc.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8</w:t>
      </w:r>
      <w:r w:rsid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) </w:t>
      </w:r>
      <w:r w:rsidR="00DF7AF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que dice </w:t>
      </w:r>
      <w:r w:rsidR="005B1A5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“H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acer recaudar los </w:t>
      </w:r>
      <w:r w:rsidR="005B1A5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recursos que corresponden a la M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unici</w:t>
      </w:r>
      <w:r w:rsidR="005B1A5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palidad”;</w:t>
      </w:r>
    </w:p>
    <w:p w:rsidR="005B1A51" w:rsidRPr="009E17E5" w:rsidRDefault="005B1A51" w:rsidP="009E17E5">
      <w:pPr>
        <w:spacing w:line="240" w:lineRule="auto"/>
        <w:jc w:val="left"/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Que en lo relativo al Patrimonio Municipal el Art.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53 dice que el patrimonio mu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nicipal se compone de:… inc. c</w:t>
      </w:r>
      <w:r w:rsid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) </w:t>
      </w:r>
      <w:r w:rsidR="00DF7AF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“Los ingresos fiscales correspondiente y el producido de su actividad económica, de sus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servicios o de la coparticipación respectiva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”;</w:t>
      </w:r>
    </w:p>
    <w:p w:rsidR="005B1A51" w:rsidRPr="009E17E5" w:rsidRDefault="005B1A51" w:rsidP="009E17E5">
      <w:pPr>
        <w:spacing w:line="240" w:lineRule="auto"/>
        <w:jc w:val="left"/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Que en el Art.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54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 sobre los Recursos M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unicipales sostiene que son los impuestos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, tasas,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derechos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licencias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contribuciones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….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con el límite de la di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sposiciones de la Constitución P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rovincial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;</w:t>
      </w:r>
    </w:p>
    <w:p w:rsidR="00542B9A" w:rsidRPr="009E17E5" w:rsidRDefault="005B1A51" w:rsidP="009E17E5">
      <w:pPr>
        <w:spacing w:line="240" w:lineRule="auto"/>
        <w:jc w:val="left"/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Que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el dinero proveniente de la recaudación de las contribuciones que inciden sobre la instalación de gas natural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 etc., es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dinero público y que solamente puede ser 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ad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ministra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do por un representante el Sr. Intendente M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unicipal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</w:t>
      </w:r>
      <w:r w:rsidR="00542B9A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estando vedad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o garantizar con dinero público el incumplimiento de vecinos en la instalación de</w:t>
      </w:r>
      <w:r w:rsidR="00542B9A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red de gas en no se contempla como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el servicio público de </w:t>
      </w:r>
      <w:r w:rsidR="00542B9A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ineludible cumplimiento por el Organismo M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unicipal</w:t>
      </w:r>
      <w:r w:rsidR="00542B9A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.</w:t>
      </w:r>
    </w:p>
    <w:p w:rsidR="006B49C4" w:rsidRPr="009E17E5" w:rsidRDefault="00542B9A" w:rsidP="009E17E5">
      <w:pPr>
        <w:spacing w:line="240" w:lineRule="auto"/>
        <w:jc w:val="left"/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Que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en el dictado de la ordenanza que nos ocupa se debe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n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considerar los distintos elementos que concurren a la formación del mismo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,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esto es la competencia del funcionario que lo otorgó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al objeto finalidad del mismo y a la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s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forma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s de que debe hallarse</w:t>
      </w:r>
      <w:r w:rsidR="006B49C4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revestido.</w:t>
      </w:r>
    </w:p>
    <w:p w:rsidR="00542B9A" w:rsidRPr="009E17E5" w:rsidRDefault="00542B9A" w:rsidP="009E17E5">
      <w:pPr>
        <w:spacing w:line="240" w:lineRule="auto"/>
        <w:jc w:val="left"/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Que la falta de amplitud del Concejo Deliberante en este caso derivada de carecer def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acultad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es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para poner en movimiento su actividad en un sentido determinado o la prohibición de realizar ciertos actos que por motivos especiales colisionan con la organización 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y contenido de la Constitución Provincial y N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acional con garantías individuales o la omisión al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os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principio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s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y garantías que han sido 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consignados en la Constitución N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acional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;</w:t>
      </w:r>
    </w:p>
    <w:p w:rsidR="00542B9A" w:rsidRPr="009E17E5" w:rsidRDefault="00542B9A" w:rsidP="009E17E5">
      <w:pPr>
        <w:spacing w:line="240" w:lineRule="auto"/>
        <w:jc w:val="left"/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Q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ue se debe proteger a los habitantes contra los abusos siempre posible del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os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gobierno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s,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sin que tales ab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usos pierdan su carácter o queden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validado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s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a causa del medio elegido para realizar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los;</w:t>
      </w:r>
    </w:p>
    <w:p w:rsidR="00542B9A" w:rsidRPr="009E17E5" w:rsidRDefault="00542B9A" w:rsidP="009E17E5">
      <w:pPr>
        <w:spacing w:line="240" w:lineRule="auto"/>
        <w:jc w:val="left"/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Que la ordenanza aprobada por el Concejo D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eliberante de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be ser objeto de ataque por la M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unicipalidad impulsando su derogación y declarando la lesividad a los intereses público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s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accionando en consecuencia por su inconstitucionalidad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;</w:t>
      </w:r>
    </w:p>
    <w:p w:rsidR="003B47E1" w:rsidRPr="009E17E5" w:rsidRDefault="00542B9A" w:rsidP="009E17E5">
      <w:pPr>
        <w:spacing w:line="240" w:lineRule="auto"/>
        <w:jc w:val="left"/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lastRenderedPageBreak/>
        <w:t>Que el Concejo D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eliberante como órgano que nuclea a los miembros elegidos por la ciudadanía cuenta con importantes atribuciones para ejercer el control de la gestión administrativa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disponiendo de los resorte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s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necesario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s</w:t>
      </w:r>
      <w:r w:rsidR="003B47E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para que ello se efectivice. Empero el ejercicio de t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ales atribuciones no puede desnaturalizar la estructura de funcionamiento del</w:t>
      </w:r>
      <w:r w:rsidR="003B47E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municipio respecto de la cual la Ley Orgánica de M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unicipalidad</w:t>
      </w:r>
      <w:r w:rsidR="003B47E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es ha establecido claras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diferencia</w:t>
      </w:r>
      <w:r w:rsidR="003B47E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s interroganticas, atribuyendo al D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epartame</w:t>
      </w:r>
      <w:r w:rsidR="003B47E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nto E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jecutivo la concreción de la</w:t>
      </w:r>
      <w:r w:rsidR="003B47E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scontrataciones, que obligarán en definitiva la M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unicipalidad</w:t>
      </w:r>
      <w:r w:rsidR="003B47E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. Fallo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94 09 00 30 Corte Suprema de Justicia</w:t>
      </w:r>
      <w:r w:rsidR="003B47E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, CS JH N° 212 año 1984 fecha 13/04 /94 JurProv</w:t>
      </w:r>
      <w:r w:rsidR="006B49C4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</w:t>
      </w:r>
      <w:r w:rsidR="003B47E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Disco Láser 1999 Ref. Log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14856</w:t>
      </w:r>
      <w:r w:rsidR="003B47E1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;</w:t>
      </w:r>
    </w:p>
    <w:p w:rsidR="006B49C4" w:rsidRPr="009E17E5" w:rsidRDefault="003B47E1" w:rsidP="009E17E5">
      <w:pPr>
        <w:spacing w:line="240" w:lineRule="auto"/>
        <w:jc w:val="left"/>
        <w:rPr>
          <w:rFonts w:ascii="Times New Roman" w:eastAsia="Times New Roman" w:hAnsi="Times New Roman"/>
          <w:sz w:val="24"/>
          <w:szCs w:val="24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 P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or todo lo expuesto y el uso de la facultad</w:t>
      </w:r>
      <w:r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 xml:space="preserve">es </w:t>
      </w:r>
      <w:r w:rsidR="00D41D9D" w:rsidRPr="009E17E5">
        <w:rPr>
          <w:rFonts w:ascii="Times New Roman" w:eastAsia="Times New Roman" w:hAnsi="Times New Roman"/>
          <w:sz w:val="24"/>
          <w:szCs w:val="24"/>
          <w:shd w:val="clear" w:color="auto" w:fill="FFFFFF"/>
          <w:lang w:eastAsia="es-AR"/>
        </w:rPr>
        <w:t>que le confiere</w:t>
      </w:r>
      <w:r w:rsidRPr="009E17E5">
        <w:rPr>
          <w:rFonts w:ascii="Times New Roman" w:eastAsia="Times New Roman" w:hAnsi="Times New Roman"/>
          <w:sz w:val="24"/>
          <w:szCs w:val="24"/>
          <w:lang w:eastAsia="es-AR"/>
        </w:rPr>
        <w:t xml:space="preserve"> el Decreto N° 822 /</w:t>
      </w:r>
      <w:r w:rsidR="00D41D9D" w:rsidRPr="009E17E5">
        <w:rPr>
          <w:rFonts w:ascii="Times New Roman" w:eastAsia="Times New Roman" w:hAnsi="Times New Roman"/>
          <w:sz w:val="24"/>
          <w:szCs w:val="24"/>
          <w:lang w:eastAsia="es-AR"/>
        </w:rPr>
        <w:t>1 de la fecha 19 de mayo de 2000</w:t>
      </w:r>
      <w:r w:rsidRPr="009E17E5">
        <w:rPr>
          <w:rFonts w:ascii="Times New Roman" w:eastAsia="Times New Roman" w:hAnsi="Times New Roman"/>
          <w:sz w:val="24"/>
          <w:szCs w:val="24"/>
          <w:lang w:eastAsia="es-AR"/>
        </w:rPr>
        <w:t>, emitido por el Poder Ejecutivo P</w:t>
      </w:r>
      <w:r w:rsidR="00D41D9D" w:rsidRPr="009E17E5">
        <w:rPr>
          <w:rFonts w:ascii="Times New Roman" w:eastAsia="Times New Roman" w:hAnsi="Times New Roman"/>
          <w:sz w:val="24"/>
          <w:szCs w:val="24"/>
          <w:lang w:eastAsia="es-AR"/>
        </w:rPr>
        <w:t>rovincial</w:t>
      </w:r>
      <w:r w:rsidRPr="009E17E5">
        <w:rPr>
          <w:rFonts w:ascii="Times New Roman" w:eastAsia="Times New Roman" w:hAnsi="Times New Roman"/>
          <w:sz w:val="24"/>
          <w:szCs w:val="24"/>
          <w:lang w:eastAsia="es-AR"/>
        </w:rPr>
        <w:t>,</w:t>
      </w:r>
    </w:p>
    <w:p w:rsidR="00B62EB2" w:rsidRPr="009E17E5" w:rsidRDefault="00B62EB2" w:rsidP="009E17E5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lang w:eastAsia="es-AR"/>
        </w:rPr>
        <w:t>EL INTERVENTOR MUNICIPAL</w:t>
      </w:r>
    </w:p>
    <w:p w:rsidR="00B62EB2" w:rsidRPr="009E17E5" w:rsidRDefault="00D9379A" w:rsidP="009E17E5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lang w:eastAsia="es-AR"/>
        </w:rPr>
        <w:t>SANC</w:t>
      </w:r>
      <w:r w:rsidR="00B62EB2" w:rsidRPr="009E17E5">
        <w:rPr>
          <w:rFonts w:ascii="Times New Roman" w:eastAsia="Times New Roman" w:hAnsi="Times New Roman"/>
          <w:sz w:val="24"/>
          <w:szCs w:val="24"/>
          <w:lang w:eastAsia="es-AR"/>
        </w:rPr>
        <w:t>ONA Y PROMULGA CON FUERZA DE</w:t>
      </w:r>
    </w:p>
    <w:p w:rsidR="00B62EB2" w:rsidRPr="009E17E5" w:rsidRDefault="00B62EB2" w:rsidP="009E17E5">
      <w:pPr>
        <w:spacing w:line="240" w:lineRule="auto"/>
        <w:jc w:val="center"/>
        <w:rPr>
          <w:rFonts w:ascii="Times New Roman" w:eastAsia="Times New Roman" w:hAnsi="Times New Roman"/>
          <w:sz w:val="24"/>
          <w:szCs w:val="24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lang w:eastAsia="es-AR"/>
        </w:rPr>
        <w:t>ORDENANZA</w:t>
      </w:r>
    </w:p>
    <w:p w:rsidR="009E17E5" w:rsidRDefault="008603D5" w:rsidP="009E17E5">
      <w:pPr>
        <w:spacing w:line="240" w:lineRule="auto"/>
        <w:jc w:val="left"/>
        <w:rPr>
          <w:rFonts w:ascii="Times New Roman" w:eastAsia="Times New Roman" w:hAnsi="Times New Roman"/>
          <w:sz w:val="24"/>
          <w:szCs w:val="24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lang w:eastAsia="es-AR"/>
        </w:rPr>
        <w:t>ARTICULO PRIMERO</w:t>
      </w:r>
      <w:r w:rsidR="00DF7AFD" w:rsidRPr="009E17E5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B62EB2" w:rsidRPr="009E17E5">
        <w:rPr>
          <w:rFonts w:ascii="Times New Roman" w:eastAsia="Times New Roman" w:hAnsi="Times New Roman"/>
          <w:sz w:val="24"/>
          <w:szCs w:val="24"/>
          <w:lang w:eastAsia="es-AR"/>
        </w:rPr>
        <w:t xml:space="preserve">DEROGANSE los Artículos 4° y 5° de la ordenanza N° </w:t>
      </w:r>
      <w:r w:rsidR="00D9379A" w:rsidRPr="009E17E5">
        <w:rPr>
          <w:rFonts w:ascii="Times New Roman" w:eastAsia="Times New Roman" w:hAnsi="Times New Roman"/>
          <w:sz w:val="24"/>
          <w:szCs w:val="24"/>
          <w:lang w:eastAsia="es-AR"/>
        </w:rPr>
        <w:t>821 de fecha 16/0</w:t>
      </w:r>
      <w:r w:rsidR="00D41D9D" w:rsidRPr="009E17E5">
        <w:rPr>
          <w:rFonts w:ascii="Times New Roman" w:eastAsia="Times New Roman" w:hAnsi="Times New Roman"/>
          <w:sz w:val="24"/>
          <w:szCs w:val="24"/>
          <w:lang w:eastAsia="es-AR"/>
        </w:rPr>
        <w:t>4</w:t>
      </w:r>
      <w:r w:rsidR="00D9379A" w:rsidRPr="009E17E5">
        <w:rPr>
          <w:rFonts w:ascii="Times New Roman" w:eastAsia="Times New Roman" w:hAnsi="Times New Roman"/>
          <w:sz w:val="24"/>
          <w:szCs w:val="24"/>
          <w:lang w:eastAsia="es-AR"/>
        </w:rPr>
        <w:t>/</w:t>
      </w:r>
      <w:r w:rsidR="00D41D9D" w:rsidRPr="009E17E5">
        <w:rPr>
          <w:rFonts w:ascii="Times New Roman" w:eastAsia="Times New Roman" w:hAnsi="Times New Roman"/>
          <w:sz w:val="24"/>
          <w:szCs w:val="24"/>
          <w:lang w:eastAsia="es-AR"/>
        </w:rPr>
        <w:t>97</w:t>
      </w:r>
      <w:r w:rsidR="00D9379A" w:rsidRPr="009E17E5">
        <w:rPr>
          <w:rFonts w:ascii="Times New Roman" w:eastAsia="Times New Roman" w:hAnsi="Times New Roman"/>
          <w:sz w:val="24"/>
          <w:szCs w:val="24"/>
          <w:lang w:eastAsia="es-AR"/>
        </w:rPr>
        <w:t>,</w:t>
      </w:r>
      <w:r w:rsidR="00D41D9D" w:rsidRPr="009E17E5">
        <w:rPr>
          <w:rFonts w:ascii="Times New Roman" w:eastAsia="Times New Roman" w:hAnsi="Times New Roman"/>
          <w:sz w:val="24"/>
          <w:szCs w:val="24"/>
          <w:lang w:eastAsia="es-AR"/>
        </w:rPr>
        <w:t xml:space="preserve"> por</w:t>
      </w:r>
      <w:r w:rsidR="00D9379A" w:rsidRPr="009E17E5">
        <w:rPr>
          <w:rFonts w:ascii="Times New Roman" w:eastAsia="Times New Roman" w:hAnsi="Times New Roman"/>
          <w:sz w:val="24"/>
          <w:szCs w:val="24"/>
          <w:lang w:eastAsia="es-AR"/>
        </w:rPr>
        <w:t xml:space="preserve"> las</w:t>
      </w:r>
      <w:r w:rsidR="006B49C4" w:rsidRPr="009E17E5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D41D9D" w:rsidRPr="009E17E5">
        <w:rPr>
          <w:rFonts w:ascii="Times New Roman" w:eastAsia="Times New Roman" w:hAnsi="Times New Roman"/>
          <w:sz w:val="24"/>
          <w:szCs w:val="24"/>
          <w:lang w:eastAsia="es-AR"/>
        </w:rPr>
        <w:t xml:space="preserve">razones </w:t>
      </w:r>
      <w:r w:rsidR="00D9379A" w:rsidRPr="009E17E5">
        <w:rPr>
          <w:rFonts w:ascii="Times New Roman" w:eastAsia="Times New Roman" w:hAnsi="Times New Roman"/>
          <w:sz w:val="24"/>
          <w:szCs w:val="24"/>
          <w:lang w:eastAsia="es-AR"/>
        </w:rPr>
        <w:t>ex</w:t>
      </w:r>
      <w:r w:rsidR="00D41D9D" w:rsidRPr="009E17E5">
        <w:rPr>
          <w:rFonts w:ascii="Times New Roman" w:eastAsia="Times New Roman" w:hAnsi="Times New Roman"/>
          <w:sz w:val="24"/>
          <w:szCs w:val="24"/>
          <w:lang w:eastAsia="es-AR"/>
        </w:rPr>
        <w:t>puesta</w:t>
      </w:r>
      <w:r w:rsidR="00D9379A" w:rsidRPr="009E17E5">
        <w:rPr>
          <w:rFonts w:ascii="Times New Roman" w:eastAsia="Times New Roman" w:hAnsi="Times New Roman"/>
          <w:sz w:val="24"/>
          <w:szCs w:val="24"/>
          <w:lang w:eastAsia="es-AR"/>
        </w:rPr>
        <w:t>s en los C</w:t>
      </w:r>
      <w:r w:rsidR="00D41D9D" w:rsidRPr="009E17E5">
        <w:rPr>
          <w:rFonts w:ascii="Times New Roman" w:eastAsia="Times New Roman" w:hAnsi="Times New Roman"/>
          <w:sz w:val="24"/>
          <w:szCs w:val="24"/>
          <w:lang w:eastAsia="es-AR"/>
        </w:rPr>
        <w:t>onsidera</w:t>
      </w:r>
      <w:r w:rsidR="00D9379A" w:rsidRPr="009E17E5">
        <w:rPr>
          <w:rFonts w:ascii="Times New Roman" w:eastAsia="Times New Roman" w:hAnsi="Times New Roman"/>
          <w:sz w:val="24"/>
          <w:szCs w:val="24"/>
          <w:lang w:eastAsia="es-AR"/>
        </w:rPr>
        <w:t>n</w:t>
      </w:r>
      <w:r w:rsidR="00D41D9D" w:rsidRPr="009E17E5">
        <w:rPr>
          <w:rFonts w:ascii="Times New Roman" w:eastAsia="Times New Roman" w:hAnsi="Times New Roman"/>
          <w:sz w:val="24"/>
          <w:szCs w:val="24"/>
          <w:lang w:eastAsia="es-AR"/>
        </w:rPr>
        <w:t>do</w:t>
      </w:r>
      <w:r w:rsidR="00D9379A" w:rsidRPr="009E17E5">
        <w:rPr>
          <w:rFonts w:ascii="Times New Roman" w:eastAsia="Times New Roman" w:hAnsi="Times New Roman"/>
          <w:sz w:val="24"/>
          <w:szCs w:val="24"/>
          <w:lang w:eastAsia="es-AR"/>
        </w:rPr>
        <w:t>s</w:t>
      </w:r>
      <w:r w:rsidR="00D41D9D" w:rsidRPr="009E17E5">
        <w:rPr>
          <w:rFonts w:ascii="Times New Roman" w:eastAsia="Times New Roman" w:hAnsi="Times New Roman"/>
          <w:sz w:val="24"/>
          <w:szCs w:val="24"/>
          <w:lang w:eastAsia="es-AR"/>
        </w:rPr>
        <w:t xml:space="preserve"> de la presente</w:t>
      </w:r>
      <w:r w:rsidR="00D9379A" w:rsidRPr="009E17E5">
        <w:rPr>
          <w:rFonts w:ascii="Times New Roman" w:eastAsia="Times New Roman" w:hAnsi="Times New Roman"/>
          <w:sz w:val="24"/>
          <w:szCs w:val="24"/>
          <w:lang w:eastAsia="es-AR"/>
        </w:rPr>
        <w:t xml:space="preserve"> Ordenanza</w:t>
      </w:r>
    </w:p>
    <w:p w:rsidR="009E17E5" w:rsidRDefault="008603D5" w:rsidP="009E17E5">
      <w:pPr>
        <w:spacing w:line="240" w:lineRule="auto"/>
        <w:jc w:val="left"/>
        <w:rPr>
          <w:rFonts w:ascii="Times New Roman" w:eastAsia="Times New Roman" w:hAnsi="Times New Roman"/>
          <w:sz w:val="24"/>
          <w:szCs w:val="24"/>
          <w:lang w:eastAsia="es-AR"/>
        </w:rPr>
      </w:pPr>
      <w:r w:rsidRPr="009E17E5">
        <w:rPr>
          <w:rFonts w:ascii="Times New Roman" w:eastAsia="Times New Roman" w:hAnsi="Times New Roman"/>
          <w:sz w:val="24"/>
          <w:szCs w:val="24"/>
          <w:lang w:eastAsia="es-AR"/>
        </w:rPr>
        <w:t>ARTICULO SEGUNDO</w:t>
      </w:r>
      <w:r w:rsidR="00DF7AFD" w:rsidRPr="009E17E5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D9379A" w:rsidRPr="009E17E5">
        <w:rPr>
          <w:rFonts w:ascii="Times New Roman" w:eastAsia="Times New Roman" w:hAnsi="Times New Roman"/>
          <w:sz w:val="24"/>
          <w:szCs w:val="24"/>
          <w:lang w:eastAsia="es-AR"/>
        </w:rPr>
        <w:t>PUBLIQUESE,</w:t>
      </w:r>
      <w:r w:rsidR="006B49C4" w:rsidRPr="009E17E5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D9379A" w:rsidRPr="009E17E5">
        <w:rPr>
          <w:rFonts w:ascii="Times New Roman" w:eastAsia="Times New Roman" w:hAnsi="Times New Roman"/>
          <w:sz w:val="24"/>
          <w:szCs w:val="24"/>
          <w:lang w:eastAsia="es-AR"/>
        </w:rPr>
        <w:t>en el Boletín Oficial de la P</w:t>
      </w:r>
      <w:r w:rsidR="00D41D9D" w:rsidRPr="009E17E5">
        <w:rPr>
          <w:rFonts w:ascii="Times New Roman" w:eastAsia="Times New Roman" w:hAnsi="Times New Roman"/>
          <w:sz w:val="24"/>
          <w:szCs w:val="24"/>
          <w:lang w:eastAsia="es-AR"/>
        </w:rPr>
        <w:t>rovincia</w:t>
      </w:r>
      <w:r w:rsidR="00D9379A" w:rsidRPr="009E17E5">
        <w:rPr>
          <w:rFonts w:ascii="Times New Roman" w:eastAsia="Times New Roman" w:hAnsi="Times New Roman"/>
          <w:sz w:val="24"/>
          <w:szCs w:val="24"/>
          <w:lang w:eastAsia="es-AR"/>
        </w:rPr>
        <w:t>. Una vez publicada dis</w:t>
      </w:r>
      <w:r w:rsidR="00D41D9D" w:rsidRPr="009E17E5">
        <w:rPr>
          <w:rFonts w:ascii="Times New Roman" w:eastAsia="Times New Roman" w:hAnsi="Times New Roman"/>
          <w:sz w:val="24"/>
          <w:szCs w:val="24"/>
          <w:lang w:eastAsia="es-AR"/>
        </w:rPr>
        <w:t>poner las acciones judiciales pertinente</w:t>
      </w:r>
      <w:r w:rsidR="00D9379A" w:rsidRPr="009E17E5">
        <w:rPr>
          <w:rFonts w:ascii="Times New Roman" w:eastAsia="Times New Roman" w:hAnsi="Times New Roman"/>
          <w:sz w:val="24"/>
          <w:szCs w:val="24"/>
          <w:lang w:eastAsia="es-AR"/>
        </w:rPr>
        <w:t xml:space="preserve">s solicitando la declaración de su </w:t>
      </w:r>
      <w:r w:rsidR="00D41D9D" w:rsidRPr="009E17E5">
        <w:rPr>
          <w:rFonts w:ascii="Times New Roman" w:eastAsia="Times New Roman" w:hAnsi="Times New Roman"/>
          <w:sz w:val="24"/>
          <w:szCs w:val="24"/>
          <w:lang w:eastAsia="es-AR"/>
        </w:rPr>
        <w:t>inconstitucionalidad</w:t>
      </w:r>
      <w:r w:rsidR="00D9379A" w:rsidRPr="009E17E5">
        <w:rPr>
          <w:rFonts w:ascii="Times New Roman" w:eastAsia="Times New Roman" w:hAnsi="Times New Roman"/>
          <w:sz w:val="24"/>
          <w:szCs w:val="24"/>
          <w:lang w:eastAsia="es-AR"/>
        </w:rPr>
        <w:t>.</w:t>
      </w:r>
    </w:p>
    <w:p w:rsidR="006F2884" w:rsidRPr="009E17E5" w:rsidRDefault="008603D5" w:rsidP="009E17E5">
      <w:pPr>
        <w:spacing w:line="240" w:lineRule="auto"/>
        <w:jc w:val="left"/>
        <w:rPr>
          <w:rFonts w:ascii="Times New Roman" w:hAnsi="Times New Roman"/>
          <w:sz w:val="24"/>
        </w:rPr>
      </w:pPr>
      <w:r w:rsidRPr="009E17E5">
        <w:rPr>
          <w:rFonts w:ascii="Times New Roman" w:eastAsia="Times New Roman" w:hAnsi="Times New Roman"/>
          <w:sz w:val="24"/>
          <w:szCs w:val="24"/>
          <w:lang w:eastAsia="es-AR"/>
        </w:rPr>
        <w:t>ARTICULO TERCERO</w:t>
      </w:r>
      <w:r w:rsidR="00DF7AFD" w:rsidRPr="009E17E5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D9379A" w:rsidRPr="009E17E5">
        <w:rPr>
          <w:rFonts w:ascii="Times New Roman" w:eastAsia="Times New Roman" w:hAnsi="Times New Roman"/>
          <w:sz w:val="24"/>
          <w:szCs w:val="24"/>
          <w:lang w:eastAsia="es-AR"/>
        </w:rPr>
        <w:t>COMUNIQUESE, COPIESE Y ARCHIVESE.</w:t>
      </w:r>
      <w:r w:rsidR="009E17E5" w:rsidRPr="009E17E5">
        <w:rPr>
          <w:rFonts w:ascii="Times New Roman" w:hAnsi="Times New Roman"/>
          <w:sz w:val="24"/>
        </w:rPr>
        <w:t xml:space="preserve"> </w:t>
      </w:r>
    </w:p>
    <w:sectPr w:rsidR="006F2884" w:rsidRPr="009E17E5" w:rsidSect="009E17E5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D41D9D"/>
    <w:rsid w:val="000373D6"/>
    <w:rsid w:val="000776C1"/>
    <w:rsid w:val="000D6F58"/>
    <w:rsid w:val="00222916"/>
    <w:rsid w:val="002B6285"/>
    <w:rsid w:val="002D575E"/>
    <w:rsid w:val="0030223F"/>
    <w:rsid w:val="00332E1B"/>
    <w:rsid w:val="003528FB"/>
    <w:rsid w:val="003B47E1"/>
    <w:rsid w:val="003E657F"/>
    <w:rsid w:val="00417282"/>
    <w:rsid w:val="004A1E78"/>
    <w:rsid w:val="00542B9A"/>
    <w:rsid w:val="005952EA"/>
    <w:rsid w:val="005B1A51"/>
    <w:rsid w:val="00642B71"/>
    <w:rsid w:val="0064422C"/>
    <w:rsid w:val="006837EF"/>
    <w:rsid w:val="006B49C4"/>
    <w:rsid w:val="006D478B"/>
    <w:rsid w:val="006F2884"/>
    <w:rsid w:val="007B73E1"/>
    <w:rsid w:val="007E4FA0"/>
    <w:rsid w:val="007E6ABD"/>
    <w:rsid w:val="007F1AB9"/>
    <w:rsid w:val="008603D5"/>
    <w:rsid w:val="008D521B"/>
    <w:rsid w:val="00922196"/>
    <w:rsid w:val="009D75AF"/>
    <w:rsid w:val="009E17E5"/>
    <w:rsid w:val="00A569D6"/>
    <w:rsid w:val="00A703B2"/>
    <w:rsid w:val="00A70BA3"/>
    <w:rsid w:val="00B62EB2"/>
    <w:rsid w:val="00B923D8"/>
    <w:rsid w:val="00BB2ED4"/>
    <w:rsid w:val="00BC6C93"/>
    <w:rsid w:val="00C049C7"/>
    <w:rsid w:val="00C20B7D"/>
    <w:rsid w:val="00CC1838"/>
    <w:rsid w:val="00CE1123"/>
    <w:rsid w:val="00D41D9D"/>
    <w:rsid w:val="00D57F06"/>
    <w:rsid w:val="00D9379A"/>
    <w:rsid w:val="00DF7AFD"/>
    <w:rsid w:val="00E268F1"/>
    <w:rsid w:val="00E34AE4"/>
    <w:rsid w:val="00E47BB3"/>
    <w:rsid w:val="00FA4CA5"/>
    <w:rsid w:val="00FE194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5508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rnando\Dropbox%20(Anterior)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3</Pages>
  <Words>1212</Words>
  <Characters>6669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cp:lastModifiedBy>usuario</cp:lastModifiedBy>
  <cp:revision>13</cp:revision>
  <dcterms:created xsi:type="dcterms:W3CDTF">2016-12-19T22:42:00Z</dcterms:created>
  <dcterms:modified xsi:type="dcterms:W3CDTF">2017-06-06T11:55:00Z</dcterms:modified>
</cp:coreProperties>
</file>