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7FB2" w:rsidRPr="00DF6F13" w:rsidRDefault="000E7FB2" w:rsidP="00DF6F13">
      <w:pPr>
        <w:spacing w:after="200"/>
        <w:jc w:val="right"/>
        <w:rPr>
          <w:bCs/>
        </w:rPr>
      </w:pPr>
      <w:r w:rsidRPr="00DF6F13">
        <w:rPr>
          <w:bCs/>
        </w:rPr>
        <w:t>Yerba Buena, 21 de Marzo de 2002</w:t>
      </w:r>
    </w:p>
    <w:p w:rsidR="000E7FB2" w:rsidRPr="00DF6F13" w:rsidRDefault="000E7FB2" w:rsidP="00DF6F13">
      <w:pPr>
        <w:spacing w:after="200"/>
        <w:rPr>
          <w:bCs/>
        </w:rPr>
      </w:pPr>
      <w:r w:rsidRPr="00DF6F13">
        <w:rPr>
          <w:bCs/>
        </w:rPr>
        <w:t>ORDENANZA Nº 1226</w:t>
      </w:r>
    </w:p>
    <w:p w:rsidR="00B62063" w:rsidRPr="00DF6F13" w:rsidRDefault="000E7FB2" w:rsidP="00DF6F13">
      <w:pPr>
        <w:spacing w:after="200"/>
        <w:jc w:val="both"/>
      </w:pPr>
      <w:r w:rsidRPr="00DF6F13">
        <w:rPr>
          <w:bCs/>
        </w:rPr>
        <w:t xml:space="preserve">VISTO: </w:t>
      </w:r>
      <w:r w:rsidR="00E35B40" w:rsidRPr="00DF6F13">
        <w:t>La necesidad de determinar las normas aplicables a la instalación de locales o casas de juegos, casinos, etc.; y</w:t>
      </w:r>
    </w:p>
    <w:p w:rsidR="00EF73C9" w:rsidRPr="00DF6F13" w:rsidRDefault="000E7FB2" w:rsidP="00DF6F13">
      <w:pPr>
        <w:spacing w:after="200"/>
        <w:jc w:val="both"/>
      </w:pPr>
      <w:r w:rsidRPr="00DF6F13">
        <w:rPr>
          <w:bCs/>
        </w:rPr>
        <w:t xml:space="preserve">CONSIDERANDO: </w:t>
      </w:r>
      <w:r w:rsidR="00E35B40" w:rsidRPr="00DF6F13">
        <w:t>Que la Ordenanza 613/94 tiene un Capítulo DE LOS USOS. Analizando el mismo se concluye que en el punto 3.3.3. “Cuadro de Usos”</w:t>
      </w:r>
      <w:r w:rsidRPr="00DF6F13">
        <w:t xml:space="preserve"> </w:t>
      </w:r>
      <w:r w:rsidR="00DF6F13">
        <w:t xml:space="preserve">                    (</w:t>
      </w:r>
      <w:r w:rsidR="00E35B40" w:rsidRPr="00DF6F13">
        <w:t>Pág. 82 a 91</w:t>
      </w:r>
      <w:r w:rsidR="00DF6F13">
        <w:t xml:space="preserve">) </w:t>
      </w:r>
      <w:r w:rsidRPr="00DF6F13">
        <w:t xml:space="preserve"> </w:t>
      </w:r>
      <w:r w:rsidR="00E35B40" w:rsidRPr="00DF6F13">
        <w:t>en ninguna parte se consigna Casinos, Video, Póker, Casas de Juegos;</w:t>
      </w:r>
    </w:p>
    <w:p w:rsidR="00B62063" w:rsidRPr="00DF6F13" w:rsidRDefault="00E35B40" w:rsidP="00DF6F13">
      <w:pPr>
        <w:spacing w:after="200"/>
        <w:jc w:val="both"/>
      </w:pPr>
      <w:r w:rsidRPr="00DF6F13">
        <w:t>Que si no encontrarse detallados en el citado cuadro pasan a ser usos no consignados, contemplados en el punto 3.2.2.2 pag. 64 que dice: “Los rubros que no estuviesen explícitamente consignados en el cuadro de usos serán clasificados por analogía con otros usos indicados teniendo en cuenta el tipo de actividad que se desarrolla, la modalidad de funcionamiento, etc.</w:t>
      </w:r>
      <w:r w:rsidR="000E7FB2" w:rsidRPr="00DF6F13">
        <w:t xml:space="preserve">... </w:t>
      </w:r>
      <w:r w:rsidRPr="00DF6F13">
        <w:t>”. En este sentido el Código ordena que las actividades no consignadas sean remitidas al DEM y es el DEM el que evaluará y autorizará o no. En estos casos el DEM remitirá a las áreas técnicas para que analicen con el capítulo primero del Código la viabilidad y envíen al ejecutivo los informes debidamente fundados, para que el mismo aplicando casos particulares apruebe o deniegue por resolución;</w:t>
      </w:r>
    </w:p>
    <w:p w:rsidR="00B62063" w:rsidRPr="00DF6F13" w:rsidRDefault="00E35B40" w:rsidP="00DF6F13">
      <w:pPr>
        <w:spacing w:after="200"/>
        <w:jc w:val="both"/>
      </w:pPr>
      <w:r w:rsidRPr="00DF6F13">
        <w:t>Que con respecto a la UBICACIÓN, es importante determinar la ubicación de las actividades de juegos;</w:t>
      </w:r>
    </w:p>
    <w:p w:rsidR="00DF6F13" w:rsidRDefault="00E35B40" w:rsidP="00DF6F13">
      <w:pPr>
        <w:spacing w:after="200"/>
        <w:jc w:val="both"/>
      </w:pPr>
      <w:r w:rsidRPr="00DF6F13">
        <w:t>Que un casino puede ubicarse en zona de La Olla, ya que ese sector entra dentro del circuito turístico, acompañando a un conjunto: hoteles comercios y otras actividades que hacen al esparcimiento turístico y no en forma aislada en ningún viaducto turístico como Av. Aconquija y/o Presidente Perón. Ubicación UA6.</w:t>
      </w:r>
    </w:p>
    <w:p w:rsidR="00EF73C9" w:rsidRPr="00DF6F13" w:rsidRDefault="00E35B40" w:rsidP="00DF6F13">
      <w:pPr>
        <w:spacing w:after="200"/>
        <w:jc w:val="both"/>
      </w:pPr>
      <w:r w:rsidRPr="00DF6F13">
        <w:t>Que los videos Póker, casas de juego, se deben distribuir en forma controlada, es decir fijar un máximo por zona por reglamentación y de la siguiente manera: 1</w:t>
      </w:r>
      <w:r w:rsidR="00DF6F13">
        <w:t xml:space="preserve">) </w:t>
      </w:r>
      <w:r w:rsidR="000E7FB2" w:rsidRPr="00DF6F13">
        <w:t xml:space="preserve"> </w:t>
      </w:r>
      <w:r w:rsidRPr="00DF6F13">
        <w:t>En Avenida Alfredo Guzmán, en las zonas comerciales de la misma, en Cma</w:t>
      </w:r>
      <w:r w:rsidR="000E7FB2" w:rsidRPr="00DF6F13">
        <w:t xml:space="preserve"> </w:t>
      </w:r>
      <w:r w:rsidR="00DF6F13">
        <w:t xml:space="preserve">                    (</w:t>
      </w:r>
      <w:r w:rsidRPr="00DF6F13">
        <w:t>comercio densidad alta</w:t>
      </w:r>
      <w:r w:rsidR="00DF6F13">
        <w:t xml:space="preserve">) . </w:t>
      </w:r>
      <w:r w:rsidRPr="00DF6F13">
        <w:t xml:space="preserve"> 2</w:t>
      </w:r>
      <w:r w:rsidR="00DF6F13">
        <w:t xml:space="preserve">) </w:t>
      </w:r>
      <w:r w:rsidR="000E7FB2" w:rsidRPr="00DF6F13">
        <w:t xml:space="preserve"> </w:t>
      </w:r>
      <w:r w:rsidRPr="00DF6F13">
        <w:t>En Camino del Perú en la zona determinada como Cma</w:t>
      </w:r>
      <w:r w:rsidR="000E7FB2" w:rsidRPr="00DF6F13">
        <w:t xml:space="preserve"> </w:t>
      </w:r>
      <w:r w:rsidR="00DF6F13">
        <w:t xml:space="preserve">                    (</w:t>
      </w:r>
      <w:r w:rsidRPr="00DF6F13">
        <w:t>comercio densidad alta</w:t>
      </w:r>
      <w:r w:rsidR="00DF6F13">
        <w:t xml:space="preserve">) ; </w:t>
      </w:r>
      <w:r w:rsidRPr="00DF6F13">
        <w:t xml:space="preserve"> 3</w:t>
      </w:r>
      <w:r w:rsidR="00DF6F13">
        <w:t xml:space="preserve">) </w:t>
      </w:r>
      <w:r w:rsidR="000E7FB2" w:rsidRPr="00DF6F13">
        <w:t xml:space="preserve"> </w:t>
      </w:r>
      <w:r w:rsidRPr="00DF6F13">
        <w:t>En Av. Solano Vera en Cma</w:t>
      </w:r>
      <w:r w:rsidR="000E7FB2" w:rsidRPr="00DF6F13">
        <w:t xml:space="preserve"> </w:t>
      </w:r>
      <w:r w:rsidR="00DF6F13">
        <w:t xml:space="preserve">                    (</w:t>
      </w:r>
      <w:r w:rsidRPr="00DF6F13">
        <w:t>comercio densidad alta</w:t>
      </w:r>
      <w:r w:rsidR="00DF6F13">
        <w:t xml:space="preserve">) ; </w:t>
      </w:r>
    </w:p>
    <w:p w:rsidR="00B62063" w:rsidRPr="00DF6F13" w:rsidRDefault="00E35B40" w:rsidP="00DF6F13">
      <w:pPr>
        <w:spacing w:after="200"/>
        <w:jc w:val="both"/>
      </w:pPr>
      <w:r w:rsidRPr="00DF6F13">
        <w:t>Que con relación a los existentes, es de aplicación el punto 2.1.2.1. DE LOS USOS pág. 30, párrafo 7º USO PROHIBIDO, otorgando un plazo para erradicarse;</w:t>
      </w:r>
    </w:p>
    <w:p w:rsidR="00B62063" w:rsidRPr="00DF6F13" w:rsidRDefault="00E35B40" w:rsidP="00DF6F13">
      <w:pPr>
        <w:spacing w:after="200"/>
        <w:rPr>
          <w:bCs/>
        </w:rPr>
      </w:pPr>
      <w:r w:rsidRPr="00DF6F13">
        <w:rPr>
          <w:bCs/>
        </w:rPr>
        <w:t>Por ello y en uso de las facultades que le confiere el</w:t>
      </w:r>
      <w:r w:rsidR="00B62063" w:rsidRPr="00DF6F13">
        <w:rPr>
          <w:bCs/>
        </w:rPr>
        <w:t xml:space="preserve"> </w:t>
      </w:r>
      <w:r w:rsidRPr="00DF6F13">
        <w:rPr>
          <w:bCs/>
        </w:rPr>
        <w:t>Decreto Provincial Nº 822/1 de fecha 19 de Mayo de 2000,</w:t>
      </w:r>
    </w:p>
    <w:p w:rsidR="00B62063" w:rsidRPr="00DF6F13" w:rsidRDefault="00E35B40" w:rsidP="00DF6F13">
      <w:pPr>
        <w:pStyle w:val="Ttulo2"/>
        <w:keepNext w:val="0"/>
        <w:spacing w:after="200" w:line="240" w:lineRule="auto"/>
        <w:rPr>
          <w:rFonts w:ascii="Times New Roman" w:hAnsi="Times New Roman" w:cs="Times New Roman"/>
          <w:bCs/>
          <w:i w:val="0"/>
          <w:iCs w:val="0"/>
          <w:sz w:val="24"/>
        </w:rPr>
      </w:pPr>
      <w:r w:rsidRPr="00DF6F13">
        <w:rPr>
          <w:rFonts w:ascii="Times New Roman" w:hAnsi="Times New Roman" w:cs="Times New Roman"/>
          <w:bCs/>
          <w:i w:val="0"/>
          <w:iCs w:val="0"/>
          <w:sz w:val="24"/>
        </w:rPr>
        <w:t>EL INTERVENTOR MUNICIPAL</w:t>
      </w:r>
    </w:p>
    <w:p w:rsidR="00B62063" w:rsidRPr="00DF6F13" w:rsidRDefault="00E35B40" w:rsidP="00DF6F13">
      <w:pPr>
        <w:pStyle w:val="Ttulo3"/>
        <w:keepNext w:val="0"/>
        <w:spacing w:after="200" w:line="240" w:lineRule="auto"/>
        <w:rPr>
          <w:rFonts w:ascii="Times New Roman" w:hAnsi="Times New Roman" w:cs="Times New Roman"/>
          <w:b w:val="0"/>
          <w:i w:val="0"/>
          <w:iCs w:val="0"/>
          <w:sz w:val="24"/>
        </w:rPr>
      </w:pPr>
      <w:r w:rsidRPr="00DF6F13">
        <w:rPr>
          <w:rFonts w:ascii="Times New Roman" w:hAnsi="Times New Roman" w:cs="Times New Roman"/>
          <w:b w:val="0"/>
          <w:i w:val="0"/>
          <w:iCs w:val="0"/>
          <w:sz w:val="24"/>
        </w:rPr>
        <w:t>SANCIONA Y PROMULGA CON FUERZA DE</w:t>
      </w:r>
    </w:p>
    <w:p w:rsidR="00EF73C9" w:rsidRPr="00DF6F13" w:rsidRDefault="00E35B40" w:rsidP="00DF6F13">
      <w:pPr>
        <w:pStyle w:val="Ttulo4"/>
        <w:keepNext w:val="0"/>
        <w:spacing w:after="200" w:line="240" w:lineRule="auto"/>
        <w:rPr>
          <w:rFonts w:ascii="Times New Roman" w:hAnsi="Times New Roman" w:cs="Times New Roman"/>
          <w:b w:val="0"/>
          <w:sz w:val="24"/>
        </w:rPr>
      </w:pPr>
      <w:r w:rsidRPr="00DF6F13">
        <w:rPr>
          <w:rFonts w:ascii="Times New Roman" w:hAnsi="Times New Roman" w:cs="Times New Roman"/>
          <w:b w:val="0"/>
          <w:sz w:val="24"/>
        </w:rPr>
        <w:t>ORDENANZA</w:t>
      </w:r>
    </w:p>
    <w:p w:rsidR="00B62063" w:rsidRPr="00DF6F13" w:rsidRDefault="00660138" w:rsidP="00DF6F13">
      <w:pPr>
        <w:spacing w:after="200"/>
        <w:jc w:val="both"/>
      </w:pPr>
      <w:r w:rsidRPr="00DF6F13">
        <w:t>ARTICULO PRIMERO</w:t>
      </w:r>
      <w:r w:rsidR="000E7FB2" w:rsidRPr="00DF6F13">
        <w:t xml:space="preserve">: </w:t>
      </w:r>
      <w:r w:rsidR="00E35B40" w:rsidRPr="00DF6F13">
        <w:t>ESTABLECESE que los juegos de azar</w:t>
      </w:r>
      <w:r w:rsidR="000E7FB2" w:rsidRPr="00DF6F13">
        <w:t xml:space="preserve"> </w:t>
      </w:r>
      <w:r w:rsidR="00DF6F13">
        <w:t xml:space="preserve">                    (</w:t>
      </w:r>
      <w:r w:rsidR="00E35B40" w:rsidRPr="00DF6F13">
        <w:t xml:space="preserve">casino, video póker tragamonedas, video dados, máquinas láser o video de carrera de caballos y demás que se realicen mediante la utilización de máquinas o aparatos electrónicos, electromecánicos y/o de pulso que puedan otorgar premiso y/o cualquier otra prestación </w:t>
      </w:r>
      <w:r w:rsidR="00E35B40" w:rsidRPr="00DF6F13">
        <w:lastRenderedPageBreak/>
        <w:t>susceptible de tener apreciación pecuniaria</w:t>
      </w:r>
      <w:r w:rsidR="00DF6F13">
        <w:t xml:space="preserve">) </w:t>
      </w:r>
      <w:r w:rsidR="000E7FB2" w:rsidRPr="00DF6F13">
        <w:t xml:space="preserve"> </w:t>
      </w:r>
      <w:r w:rsidR="00E35B40" w:rsidRPr="00DF6F13">
        <w:t>sólo serán permitidas en las zonas designadas por esta ordenanza.</w:t>
      </w:r>
    </w:p>
    <w:p w:rsidR="00B62063" w:rsidRPr="00DF6F13" w:rsidRDefault="00B62063" w:rsidP="00DF6F13">
      <w:pPr>
        <w:spacing w:after="200"/>
        <w:jc w:val="both"/>
      </w:pPr>
      <w:r w:rsidRPr="00DF6F13">
        <w:t xml:space="preserve"> </w:t>
      </w:r>
      <w:r w:rsidR="00660138" w:rsidRPr="00DF6F13">
        <w:t>ARTICULO SEGUNDO</w:t>
      </w:r>
      <w:r w:rsidR="000E7FB2" w:rsidRPr="00DF6F13">
        <w:t xml:space="preserve">: </w:t>
      </w:r>
      <w:r w:rsidR="00E35B40" w:rsidRPr="00DF6F13">
        <w:t>DESIGNASE zona de Casino la contemplada en la Ordenanza 613/94: UA6.</w:t>
      </w:r>
    </w:p>
    <w:p w:rsidR="00EF73C9" w:rsidRPr="00DF6F13" w:rsidRDefault="00660138" w:rsidP="00DF6F13">
      <w:pPr>
        <w:spacing w:after="200"/>
        <w:jc w:val="both"/>
      </w:pPr>
      <w:r w:rsidRPr="00DF6F13">
        <w:t>ARTICULO TERCERO</w:t>
      </w:r>
      <w:r w:rsidR="000E7FB2" w:rsidRPr="00DF6F13">
        <w:t xml:space="preserve">: </w:t>
      </w:r>
      <w:r w:rsidR="00E35B40" w:rsidRPr="00DF6F13">
        <w:t>DESIGNASE zona de video póker, tragamonedas, etc., descriptas en el artículo primero de la presente Ordenanza, a las siguientes: 1</w:t>
      </w:r>
      <w:r w:rsidR="00DF6F13">
        <w:t xml:space="preserve">) </w:t>
      </w:r>
      <w:r w:rsidR="000E7FB2" w:rsidRPr="00DF6F13">
        <w:t xml:space="preserve"> </w:t>
      </w:r>
      <w:r w:rsidR="00E35B40" w:rsidRPr="00DF6F13">
        <w:rPr>
          <w:caps/>
        </w:rPr>
        <w:t>Avenida Alfredo Guzmán</w:t>
      </w:r>
      <w:r w:rsidR="00E35B40" w:rsidRPr="00DF6F13">
        <w:t>, Cma</w:t>
      </w:r>
      <w:r w:rsidR="000E7FB2" w:rsidRPr="00DF6F13">
        <w:t xml:space="preserve"> </w:t>
      </w:r>
      <w:r w:rsidR="00DF6F13">
        <w:t xml:space="preserve">                    (</w:t>
      </w:r>
      <w:r w:rsidR="00E35B40" w:rsidRPr="00DF6F13">
        <w:t>comercio densidad alta</w:t>
      </w:r>
      <w:r w:rsidR="00DF6F13">
        <w:t xml:space="preserve">) . </w:t>
      </w:r>
      <w:r w:rsidR="00E35B40" w:rsidRPr="00DF6F13">
        <w:t xml:space="preserve"> 2</w:t>
      </w:r>
      <w:r w:rsidR="00DF6F13">
        <w:t xml:space="preserve">) </w:t>
      </w:r>
      <w:r w:rsidR="000E7FB2" w:rsidRPr="00DF6F13">
        <w:t xml:space="preserve"> </w:t>
      </w:r>
      <w:r w:rsidR="00E35B40" w:rsidRPr="00DF6F13">
        <w:rPr>
          <w:caps/>
        </w:rPr>
        <w:t>Camino del Perú</w:t>
      </w:r>
      <w:r w:rsidR="00E35B40" w:rsidRPr="00DF6F13">
        <w:t xml:space="preserve"> Cma</w:t>
      </w:r>
      <w:r w:rsidR="000E7FB2" w:rsidRPr="00DF6F13">
        <w:t xml:space="preserve"> </w:t>
      </w:r>
      <w:r w:rsidR="00DF6F13">
        <w:t xml:space="preserve">                    (</w:t>
      </w:r>
      <w:r w:rsidR="00E35B40" w:rsidRPr="00DF6F13">
        <w:t>comercio densidad alta</w:t>
      </w:r>
      <w:r w:rsidR="00DF6F13">
        <w:t xml:space="preserve">) ; </w:t>
      </w:r>
      <w:r w:rsidR="00E35B40" w:rsidRPr="00DF6F13">
        <w:t xml:space="preserve"> 3</w:t>
      </w:r>
      <w:r w:rsidR="00DF6F13">
        <w:t xml:space="preserve">) </w:t>
      </w:r>
      <w:r w:rsidR="000E7FB2" w:rsidRPr="00DF6F13">
        <w:t xml:space="preserve"> </w:t>
      </w:r>
      <w:r w:rsidR="00E35B40" w:rsidRPr="00DF6F13">
        <w:rPr>
          <w:caps/>
        </w:rPr>
        <w:t>Avenida Solano Vera</w:t>
      </w:r>
      <w:r w:rsidR="00E35B40" w:rsidRPr="00DF6F13">
        <w:t xml:space="preserve"> en Cma</w:t>
      </w:r>
      <w:r w:rsidR="000E7FB2" w:rsidRPr="00DF6F13">
        <w:t xml:space="preserve"> </w:t>
      </w:r>
      <w:r w:rsidR="00DF6F13">
        <w:t xml:space="preserve">                    (</w:t>
      </w:r>
      <w:r w:rsidR="00E35B40" w:rsidRPr="00DF6F13">
        <w:t>comercio densidad alta</w:t>
      </w:r>
      <w:r w:rsidR="00DF6F13">
        <w:t xml:space="preserve">) ; </w:t>
      </w:r>
    </w:p>
    <w:p w:rsidR="00B62063" w:rsidRPr="00DF6F13" w:rsidRDefault="00660138" w:rsidP="00DF6F13">
      <w:pPr>
        <w:spacing w:after="200"/>
        <w:jc w:val="both"/>
      </w:pPr>
      <w:r w:rsidRPr="00DF6F13">
        <w:t>ARTICULO CUARTO</w:t>
      </w:r>
      <w:r w:rsidR="000E7FB2" w:rsidRPr="00DF6F13">
        <w:t xml:space="preserve">: </w:t>
      </w:r>
      <w:r w:rsidR="00E35B40" w:rsidRPr="00DF6F13">
        <w:t>REGLAMENTESE por Decreto LA INSTALACIÓN DE UN MÁXIMO DE CASAS DE JUEGOS DE AZAR POR ZONA.</w:t>
      </w:r>
    </w:p>
    <w:p w:rsidR="00DF6F13" w:rsidRDefault="00660138" w:rsidP="00DF6F13">
      <w:pPr>
        <w:spacing w:after="200"/>
        <w:jc w:val="both"/>
      </w:pPr>
      <w:r w:rsidRPr="00DF6F13">
        <w:t>ARTICULO QUINTO</w:t>
      </w:r>
      <w:r w:rsidR="000E7FB2" w:rsidRPr="00DF6F13">
        <w:t xml:space="preserve">: </w:t>
      </w:r>
      <w:r w:rsidR="00E35B40" w:rsidRPr="00DF6F13">
        <w:t>INSTRUYASE a la Dirección de Saneamiento y Medio Ambiente de la Municipalidad de Yerba Buena para que todas las solicitudes de Habilitación que se presenten para instalar los locales descriptos en el artículo primero sean remitidos al DEM para su análisis, evaluación y autorización con competencia exclusiva.</w:t>
      </w:r>
    </w:p>
    <w:p w:rsidR="00B62063" w:rsidRPr="00DF6F13" w:rsidRDefault="00660138" w:rsidP="00DF6F13">
      <w:pPr>
        <w:spacing w:after="200"/>
        <w:jc w:val="both"/>
      </w:pPr>
      <w:r w:rsidRPr="00DF6F13">
        <w:t>ARTICULO SEXTO</w:t>
      </w:r>
      <w:r w:rsidR="000E7FB2" w:rsidRPr="00DF6F13">
        <w:t xml:space="preserve">: </w:t>
      </w:r>
      <w:r w:rsidR="00E35B40" w:rsidRPr="00DF6F13">
        <w:t>COMUNIQUESE, PUBLIQUESE, COPIESE Y ARCHIVESE</w:t>
      </w:r>
    </w:p>
    <w:p w:rsidR="00B62063" w:rsidRPr="00DF6F13" w:rsidRDefault="00E35B40" w:rsidP="00DF6F13">
      <w:pPr>
        <w:spacing w:after="200"/>
        <w:jc w:val="both"/>
      </w:pPr>
      <w:r w:rsidRPr="00DF6F13">
        <w:t>MODIFICACIÓN INTRODUCIDA POR DECRETO 226 DEL 18/5/00</w:t>
      </w:r>
    </w:p>
    <w:p w:rsidR="00EF73C9" w:rsidRPr="00DF6F13" w:rsidRDefault="00E35B40" w:rsidP="00DF6F13">
      <w:pPr>
        <w:spacing w:after="200"/>
        <w:jc w:val="both"/>
      </w:pPr>
      <w:r w:rsidRPr="00DF6F13">
        <w:t>Cambia ART. 3º por:</w:t>
      </w:r>
    </w:p>
    <w:p w:rsidR="00EF73C9" w:rsidRPr="00DF6F13" w:rsidRDefault="00660138" w:rsidP="00DF6F13">
      <w:pPr>
        <w:spacing w:after="200"/>
        <w:jc w:val="both"/>
      </w:pPr>
      <w:r w:rsidRPr="00DF6F13">
        <w:t xml:space="preserve">ARTICULO TERCERO: </w:t>
      </w:r>
      <w:r w:rsidR="00E35B40" w:rsidRPr="00DF6F13">
        <w:t>DECLARASE de carácter obligatorio la publicación en el Boletín Municipal la totalidad de las Ordenanzas, los Decretos y Resoluciones Municipales de orden público Municipal.</w:t>
      </w:r>
      <w:r w:rsidR="00DF6F13" w:rsidRPr="00DF6F13">
        <w:t xml:space="preserve"> </w:t>
      </w:r>
    </w:p>
    <w:sectPr w:rsidR="00EF73C9" w:rsidRPr="00DF6F13" w:rsidSect="00DF6F13">
      <w:headerReference w:type="first" r:id="rId7"/>
      <w:pgSz w:w="11907" w:h="16840" w:code="9"/>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F73C9" w:rsidRDefault="00E35B40">
      <w:r>
        <w:separator/>
      </w:r>
    </w:p>
  </w:endnote>
  <w:endnote w:type="continuationSeparator" w:id="1">
    <w:p w:rsidR="00EF73C9" w:rsidRDefault="00E35B4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pperplate Gothic Light">
    <w:panose1 w:val="020E05070202060204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F73C9" w:rsidRDefault="00E35B40">
      <w:r>
        <w:separator/>
      </w:r>
    </w:p>
  </w:footnote>
  <w:footnote w:type="continuationSeparator" w:id="1">
    <w:p w:rsidR="00EF73C9" w:rsidRDefault="00E35B4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73C9" w:rsidRDefault="00EF73C9">
    <w:pPr>
      <w:pStyle w:val="Encabezado"/>
      <w:jc w:val="center"/>
      <w:rPr>
        <w:rFonts w:ascii="Copperplate Gothic Light" w:hAnsi="Copperplate Gothic Light"/>
        <w:spacing w:val="102"/>
        <w:sz w:val="20"/>
      </w:rPr>
    </w:pPr>
  </w:p>
  <w:p w:rsidR="00EF73C9" w:rsidRDefault="00E35B40">
    <w:pPr>
      <w:pStyle w:val="Encabezado"/>
      <w:jc w:val="center"/>
      <w:rPr>
        <w:rFonts w:ascii="Copperplate Gothic Light" w:hAnsi="Copperplate Gothic Light"/>
        <w:b/>
        <w:bCs/>
        <w:color w:val="808080"/>
        <w:spacing w:val="110"/>
        <w:sz w:val="18"/>
      </w:rPr>
    </w:pPr>
    <w:r>
      <w:rPr>
        <w:rFonts w:ascii="Copperplate Gothic Light" w:hAnsi="Copperplate Gothic Light"/>
        <w:b/>
        <w:bCs/>
        <w:color w:val="808080"/>
        <w:spacing w:val="110"/>
        <w:sz w:val="18"/>
      </w:rPr>
      <w:t>Honorable Concejo Deliberante</w:t>
    </w:r>
  </w:p>
  <w:p w:rsidR="00EF73C9" w:rsidRDefault="00E35B40">
    <w:pPr>
      <w:pStyle w:val="Encabezado"/>
      <w:jc w:val="center"/>
      <w:rPr>
        <w:rFonts w:ascii="Arial Narrow" w:hAnsi="Arial Narrow"/>
      </w:rPr>
    </w:pPr>
    <w:r>
      <w:rPr>
        <w:rFonts w:ascii="Arial Narrow" w:hAnsi="Arial Narrow"/>
        <w:b/>
        <w:bCs/>
        <w:color w:val="808080"/>
        <w:sz w:val="18"/>
      </w:rPr>
      <w:t>Municipalidad de Yerba Buena</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8626CF"/>
    <w:multiLevelType w:val="hybridMultilevel"/>
    <w:tmpl w:val="8DD6C29E"/>
    <w:lvl w:ilvl="0" w:tplc="A8986BFE">
      <w:numFmt w:val="bullet"/>
      <w:lvlText w:val="-"/>
      <w:lvlJc w:val="left"/>
      <w:pPr>
        <w:tabs>
          <w:tab w:val="num" w:pos="2340"/>
        </w:tabs>
        <w:ind w:left="2340" w:hanging="930"/>
      </w:pPr>
      <w:rPr>
        <w:rFonts w:ascii="Times New Roman" w:eastAsia="Times New Roman" w:hAnsi="Times New Roman" w:cs="Times New Roman" w:hint="default"/>
      </w:rPr>
    </w:lvl>
    <w:lvl w:ilvl="1" w:tplc="0C0A0003">
      <w:start w:val="1"/>
      <w:numFmt w:val="bullet"/>
      <w:lvlText w:val="o"/>
      <w:lvlJc w:val="left"/>
      <w:pPr>
        <w:tabs>
          <w:tab w:val="num" w:pos="2490"/>
        </w:tabs>
        <w:ind w:left="2490" w:hanging="360"/>
      </w:pPr>
      <w:rPr>
        <w:rFonts w:ascii="Courier New" w:hAnsi="Courier New" w:hint="default"/>
      </w:rPr>
    </w:lvl>
    <w:lvl w:ilvl="2" w:tplc="0C0A0005" w:tentative="1">
      <w:start w:val="1"/>
      <w:numFmt w:val="bullet"/>
      <w:lvlText w:val=""/>
      <w:lvlJc w:val="left"/>
      <w:pPr>
        <w:tabs>
          <w:tab w:val="num" w:pos="3210"/>
        </w:tabs>
        <w:ind w:left="3210" w:hanging="360"/>
      </w:pPr>
      <w:rPr>
        <w:rFonts w:ascii="Wingdings" w:hAnsi="Wingdings" w:hint="default"/>
      </w:rPr>
    </w:lvl>
    <w:lvl w:ilvl="3" w:tplc="0C0A0001" w:tentative="1">
      <w:start w:val="1"/>
      <w:numFmt w:val="bullet"/>
      <w:lvlText w:val=""/>
      <w:lvlJc w:val="left"/>
      <w:pPr>
        <w:tabs>
          <w:tab w:val="num" w:pos="3930"/>
        </w:tabs>
        <w:ind w:left="3930" w:hanging="360"/>
      </w:pPr>
      <w:rPr>
        <w:rFonts w:ascii="Symbol" w:hAnsi="Symbol" w:hint="default"/>
      </w:rPr>
    </w:lvl>
    <w:lvl w:ilvl="4" w:tplc="0C0A0003" w:tentative="1">
      <w:start w:val="1"/>
      <w:numFmt w:val="bullet"/>
      <w:lvlText w:val="o"/>
      <w:lvlJc w:val="left"/>
      <w:pPr>
        <w:tabs>
          <w:tab w:val="num" w:pos="4650"/>
        </w:tabs>
        <w:ind w:left="4650" w:hanging="360"/>
      </w:pPr>
      <w:rPr>
        <w:rFonts w:ascii="Courier New" w:hAnsi="Courier New" w:hint="default"/>
      </w:rPr>
    </w:lvl>
    <w:lvl w:ilvl="5" w:tplc="0C0A0005" w:tentative="1">
      <w:start w:val="1"/>
      <w:numFmt w:val="bullet"/>
      <w:lvlText w:val=""/>
      <w:lvlJc w:val="left"/>
      <w:pPr>
        <w:tabs>
          <w:tab w:val="num" w:pos="5370"/>
        </w:tabs>
        <w:ind w:left="5370" w:hanging="360"/>
      </w:pPr>
      <w:rPr>
        <w:rFonts w:ascii="Wingdings" w:hAnsi="Wingdings" w:hint="default"/>
      </w:rPr>
    </w:lvl>
    <w:lvl w:ilvl="6" w:tplc="0C0A0001" w:tentative="1">
      <w:start w:val="1"/>
      <w:numFmt w:val="bullet"/>
      <w:lvlText w:val=""/>
      <w:lvlJc w:val="left"/>
      <w:pPr>
        <w:tabs>
          <w:tab w:val="num" w:pos="6090"/>
        </w:tabs>
        <w:ind w:left="6090" w:hanging="360"/>
      </w:pPr>
      <w:rPr>
        <w:rFonts w:ascii="Symbol" w:hAnsi="Symbol" w:hint="default"/>
      </w:rPr>
    </w:lvl>
    <w:lvl w:ilvl="7" w:tplc="0C0A0003" w:tentative="1">
      <w:start w:val="1"/>
      <w:numFmt w:val="bullet"/>
      <w:lvlText w:val="o"/>
      <w:lvlJc w:val="left"/>
      <w:pPr>
        <w:tabs>
          <w:tab w:val="num" w:pos="6810"/>
        </w:tabs>
        <w:ind w:left="6810" w:hanging="360"/>
      </w:pPr>
      <w:rPr>
        <w:rFonts w:ascii="Courier New" w:hAnsi="Courier New" w:hint="default"/>
      </w:rPr>
    </w:lvl>
    <w:lvl w:ilvl="8" w:tplc="0C0A0005" w:tentative="1">
      <w:start w:val="1"/>
      <w:numFmt w:val="bullet"/>
      <w:lvlText w:val=""/>
      <w:lvlJc w:val="left"/>
      <w:pPr>
        <w:tabs>
          <w:tab w:val="num" w:pos="7530"/>
        </w:tabs>
        <w:ind w:left="7530" w:hanging="360"/>
      </w:pPr>
      <w:rPr>
        <w:rFonts w:ascii="Wingdings" w:hAnsi="Wingdings" w:hint="default"/>
      </w:rPr>
    </w:lvl>
  </w:abstractNum>
  <w:abstractNum w:abstractNumId="1">
    <w:nsid w:val="21F73736"/>
    <w:multiLevelType w:val="hybridMultilevel"/>
    <w:tmpl w:val="E1807E26"/>
    <w:lvl w:ilvl="0" w:tplc="BFD4B07A">
      <w:numFmt w:val="bullet"/>
      <w:lvlText w:val="-"/>
      <w:lvlJc w:val="left"/>
      <w:pPr>
        <w:tabs>
          <w:tab w:val="num" w:pos="1080"/>
        </w:tabs>
        <w:ind w:left="1080" w:hanging="360"/>
      </w:pPr>
      <w:rPr>
        <w:rFonts w:ascii="Times New Roman" w:eastAsia="Times New Roman" w:hAnsi="Times New Roman" w:cs="Times New Roman" w:hint="default"/>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2">
    <w:nsid w:val="22792591"/>
    <w:multiLevelType w:val="hybridMultilevel"/>
    <w:tmpl w:val="AE3CC72A"/>
    <w:lvl w:ilvl="0" w:tplc="0C0A0005">
      <w:start w:val="1"/>
      <w:numFmt w:val="bullet"/>
      <w:lvlText w:val=""/>
      <w:lvlJc w:val="left"/>
      <w:pPr>
        <w:tabs>
          <w:tab w:val="num" w:pos="2880"/>
        </w:tabs>
        <w:ind w:left="2880" w:hanging="360"/>
      </w:pPr>
      <w:rPr>
        <w:rFonts w:ascii="Wingdings" w:hAnsi="Wingdings" w:hint="default"/>
      </w:rPr>
    </w:lvl>
    <w:lvl w:ilvl="1" w:tplc="0C0A0003" w:tentative="1">
      <w:start w:val="1"/>
      <w:numFmt w:val="bullet"/>
      <w:lvlText w:val="o"/>
      <w:lvlJc w:val="left"/>
      <w:pPr>
        <w:tabs>
          <w:tab w:val="num" w:pos="3600"/>
        </w:tabs>
        <w:ind w:left="3600" w:hanging="360"/>
      </w:pPr>
      <w:rPr>
        <w:rFonts w:ascii="Courier New" w:hAnsi="Courier New" w:hint="default"/>
      </w:rPr>
    </w:lvl>
    <w:lvl w:ilvl="2" w:tplc="0C0A0005" w:tentative="1">
      <w:start w:val="1"/>
      <w:numFmt w:val="bullet"/>
      <w:lvlText w:val=""/>
      <w:lvlJc w:val="left"/>
      <w:pPr>
        <w:tabs>
          <w:tab w:val="num" w:pos="4320"/>
        </w:tabs>
        <w:ind w:left="4320" w:hanging="360"/>
      </w:pPr>
      <w:rPr>
        <w:rFonts w:ascii="Wingdings" w:hAnsi="Wingdings" w:hint="default"/>
      </w:rPr>
    </w:lvl>
    <w:lvl w:ilvl="3" w:tplc="0C0A0001" w:tentative="1">
      <w:start w:val="1"/>
      <w:numFmt w:val="bullet"/>
      <w:lvlText w:val=""/>
      <w:lvlJc w:val="left"/>
      <w:pPr>
        <w:tabs>
          <w:tab w:val="num" w:pos="5040"/>
        </w:tabs>
        <w:ind w:left="5040" w:hanging="360"/>
      </w:pPr>
      <w:rPr>
        <w:rFonts w:ascii="Symbol" w:hAnsi="Symbol" w:hint="default"/>
      </w:rPr>
    </w:lvl>
    <w:lvl w:ilvl="4" w:tplc="0C0A0003" w:tentative="1">
      <w:start w:val="1"/>
      <w:numFmt w:val="bullet"/>
      <w:lvlText w:val="o"/>
      <w:lvlJc w:val="left"/>
      <w:pPr>
        <w:tabs>
          <w:tab w:val="num" w:pos="5760"/>
        </w:tabs>
        <w:ind w:left="5760" w:hanging="360"/>
      </w:pPr>
      <w:rPr>
        <w:rFonts w:ascii="Courier New" w:hAnsi="Courier New" w:hint="default"/>
      </w:rPr>
    </w:lvl>
    <w:lvl w:ilvl="5" w:tplc="0C0A0005" w:tentative="1">
      <w:start w:val="1"/>
      <w:numFmt w:val="bullet"/>
      <w:lvlText w:val=""/>
      <w:lvlJc w:val="left"/>
      <w:pPr>
        <w:tabs>
          <w:tab w:val="num" w:pos="6480"/>
        </w:tabs>
        <w:ind w:left="6480" w:hanging="360"/>
      </w:pPr>
      <w:rPr>
        <w:rFonts w:ascii="Wingdings" w:hAnsi="Wingdings" w:hint="default"/>
      </w:rPr>
    </w:lvl>
    <w:lvl w:ilvl="6" w:tplc="0C0A0001" w:tentative="1">
      <w:start w:val="1"/>
      <w:numFmt w:val="bullet"/>
      <w:lvlText w:val=""/>
      <w:lvlJc w:val="left"/>
      <w:pPr>
        <w:tabs>
          <w:tab w:val="num" w:pos="7200"/>
        </w:tabs>
        <w:ind w:left="7200" w:hanging="360"/>
      </w:pPr>
      <w:rPr>
        <w:rFonts w:ascii="Symbol" w:hAnsi="Symbol" w:hint="default"/>
      </w:rPr>
    </w:lvl>
    <w:lvl w:ilvl="7" w:tplc="0C0A0003" w:tentative="1">
      <w:start w:val="1"/>
      <w:numFmt w:val="bullet"/>
      <w:lvlText w:val="o"/>
      <w:lvlJc w:val="left"/>
      <w:pPr>
        <w:tabs>
          <w:tab w:val="num" w:pos="7920"/>
        </w:tabs>
        <w:ind w:left="7920" w:hanging="360"/>
      </w:pPr>
      <w:rPr>
        <w:rFonts w:ascii="Courier New" w:hAnsi="Courier New" w:hint="default"/>
      </w:rPr>
    </w:lvl>
    <w:lvl w:ilvl="8" w:tplc="0C0A0005" w:tentative="1">
      <w:start w:val="1"/>
      <w:numFmt w:val="bullet"/>
      <w:lvlText w:val=""/>
      <w:lvlJc w:val="left"/>
      <w:pPr>
        <w:tabs>
          <w:tab w:val="num" w:pos="8640"/>
        </w:tabs>
        <w:ind w:left="8640" w:hanging="360"/>
      </w:pPr>
      <w:rPr>
        <w:rFonts w:ascii="Wingdings" w:hAnsi="Wingdings" w:hint="default"/>
      </w:rPr>
    </w:lvl>
  </w:abstractNum>
  <w:abstractNum w:abstractNumId="3">
    <w:nsid w:val="4EEF5A9A"/>
    <w:multiLevelType w:val="hybridMultilevel"/>
    <w:tmpl w:val="6DA26B5C"/>
    <w:lvl w:ilvl="0" w:tplc="435ED51E">
      <w:start w:val="1"/>
      <w:numFmt w:val="lowerLetter"/>
      <w:lvlText w:val="%1)"/>
      <w:lvlJc w:val="left"/>
      <w:pPr>
        <w:tabs>
          <w:tab w:val="num" w:pos="1776"/>
        </w:tabs>
        <w:ind w:left="1776" w:hanging="360"/>
      </w:pPr>
      <w:rPr>
        <w:rFonts w:hint="default"/>
      </w:rPr>
    </w:lvl>
    <w:lvl w:ilvl="1" w:tplc="0C0A0019" w:tentative="1">
      <w:start w:val="1"/>
      <w:numFmt w:val="lowerLetter"/>
      <w:lvlText w:val="%2."/>
      <w:lvlJc w:val="left"/>
      <w:pPr>
        <w:tabs>
          <w:tab w:val="num" w:pos="2496"/>
        </w:tabs>
        <w:ind w:left="2496" w:hanging="360"/>
      </w:pPr>
    </w:lvl>
    <w:lvl w:ilvl="2" w:tplc="0C0A001B" w:tentative="1">
      <w:start w:val="1"/>
      <w:numFmt w:val="lowerRoman"/>
      <w:lvlText w:val="%3."/>
      <w:lvlJc w:val="right"/>
      <w:pPr>
        <w:tabs>
          <w:tab w:val="num" w:pos="3216"/>
        </w:tabs>
        <w:ind w:left="3216" w:hanging="180"/>
      </w:pPr>
    </w:lvl>
    <w:lvl w:ilvl="3" w:tplc="0C0A000F" w:tentative="1">
      <w:start w:val="1"/>
      <w:numFmt w:val="decimal"/>
      <w:lvlText w:val="%4."/>
      <w:lvlJc w:val="left"/>
      <w:pPr>
        <w:tabs>
          <w:tab w:val="num" w:pos="3936"/>
        </w:tabs>
        <w:ind w:left="3936" w:hanging="360"/>
      </w:pPr>
    </w:lvl>
    <w:lvl w:ilvl="4" w:tplc="0C0A0019" w:tentative="1">
      <w:start w:val="1"/>
      <w:numFmt w:val="lowerLetter"/>
      <w:lvlText w:val="%5."/>
      <w:lvlJc w:val="left"/>
      <w:pPr>
        <w:tabs>
          <w:tab w:val="num" w:pos="4656"/>
        </w:tabs>
        <w:ind w:left="4656" w:hanging="360"/>
      </w:pPr>
    </w:lvl>
    <w:lvl w:ilvl="5" w:tplc="0C0A001B" w:tentative="1">
      <w:start w:val="1"/>
      <w:numFmt w:val="lowerRoman"/>
      <w:lvlText w:val="%6."/>
      <w:lvlJc w:val="right"/>
      <w:pPr>
        <w:tabs>
          <w:tab w:val="num" w:pos="5376"/>
        </w:tabs>
        <w:ind w:left="5376" w:hanging="180"/>
      </w:pPr>
    </w:lvl>
    <w:lvl w:ilvl="6" w:tplc="0C0A000F" w:tentative="1">
      <w:start w:val="1"/>
      <w:numFmt w:val="decimal"/>
      <w:lvlText w:val="%7."/>
      <w:lvlJc w:val="left"/>
      <w:pPr>
        <w:tabs>
          <w:tab w:val="num" w:pos="6096"/>
        </w:tabs>
        <w:ind w:left="6096" w:hanging="360"/>
      </w:pPr>
    </w:lvl>
    <w:lvl w:ilvl="7" w:tplc="0C0A0019" w:tentative="1">
      <w:start w:val="1"/>
      <w:numFmt w:val="lowerLetter"/>
      <w:lvlText w:val="%8."/>
      <w:lvlJc w:val="left"/>
      <w:pPr>
        <w:tabs>
          <w:tab w:val="num" w:pos="6816"/>
        </w:tabs>
        <w:ind w:left="6816" w:hanging="360"/>
      </w:pPr>
    </w:lvl>
    <w:lvl w:ilvl="8" w:tplc="0C0A001B" w:tentative="1">
      <w:start w:val="1"/>
      <w:numFmt w:val="lowerRoman"/>
      <w:lvlText w:val="%9."/>
      <w:lvlJc w:val="right"/>
      <w:pPr>
        <w:tabs>
          <w:tab w:val="num" w:pos="7536"/>
        </w:tabs>
        <w:ind w:left="7536" w:hanging="18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3553"/>
  </w:hdrShapeDefault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E35B40"/>
    <w:rsid w:val="00035EBF"/>
    <w:rsid w:val="000A5B76"/>
    <w:rsid w:val="000E7FB2"/>
    <w:rsid w:val="001156F2"/>
    <w:rsid w:val="001D5274"/>
    <w:rsid w:val="00353463"/>
    <w:rsid w:val="00497269"/>
    <w:rsid w:val="00660138"/>
    <w:rsid w:val="009258E9"/>
    <w:rsid w:val="00A3637D"/>
    <w:rsid w:val="00B37CCB"/>
    <w:rsid w:val="00B62063"/>
    <w:rsid w:val="00B973C8"/>
    <w:rsid w:val="00DD48E5"/>
    <w:rsid w:val="00DF6F13"/>
    <w:rsid w:val="00E31111"/>
    <w:rsid w:val="00E342C4"/>
    <w:rsid w:val="00E35B40"/>
    <w:rsid w:val="00E8797D"/>
    <w:rsid w:val="00EB2EF0"/>
    <w:rsid w:val="00EF73C9"/>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55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73C9"/>
    <w:rPr>
      <w:sz w:val="24"/>
      <w:szCs w:val="24"/>
      <w:lang w:eastAsia="es-ES"/>
    </w:rPr>
  </w:style>
  <w:style w:type="paragraph" w:styleId="Ttulo1">
    <w:name w:val="heading 1"/>
    <w:basedOn w:val="Normal"/>
    <w:next w:val="Normal"/>
    <w:qFormat/>
    <w:rsid w:val="00EF73C9"/>
    <w:pPr>
      <w:keepNext/>
      <w:spacing w:line="360" w:lineRule="auto"/>
      <w:ind w:firstLine="1800"/>
      <w:jc w:val="both"/>
      <w:outlineLvl w:val="0"/>
    </w:pPr>
    <w:rPr>
      <w:rFonts w:ascii="Trebuchet MS" w:hAnsi="Trebuchet MS" w:cs="Arial Unicode MS"/>
      <w:b/>
      <w:bCs/>
      <w:sz w:val="22"/>
    </w:rPr>
  </w:style>
  <w:style w:type="paragraph" w:styleId="Ttulo2">
    <w:name w:val="heading 2"/>
    <w:basedOn w:val="Normal"/>
    <w:next w:val="Normal"/>
    <w:qFormat/>
    <w:rsid w:val="00EF73C9"/>
    <w:pPr>
      <w:keepNext/>
      <w:spacing w:line="360" w:lineRule="auto"/>
      <w:jc w:val="center"/>
      <w:outlineLvl w:val="1"/>
    </w:pPr>
    <w:rPr>
      <w:rFonts w:ascii="Trebuchet MS" w:hAnsi="Trebuchet MS" w:cs="Arial Unicode MS"/>
      <w:i/>
      <w:iCs/>
      <w:sz w:val="22"/>
    </w:rPr>
  </w:style>
  <w:style w:type="paragraph" w:styleId="Ttulo3">
    <w:name w:val="heading 3"/>
    <w:basedOn w:val="Normal"/>
    <w:next w:val="Normal"/>
    <w:qFormat/>
    <w:rsid w:val="00EF73C9"/>
    <w:pPr>
      <w:keepNext/>
      <w:spacing w:line="360" w:lineRule="auto"/>
      <w:jc w:val="center"/>
      <w:outlineLvl w:val="2"/>
    </w:pPr>
    <w:rPr>
      <w:rFonts w:ascii="Trebuchet MS" w:hAnsi="Trebuchet MS" w:cs="Arial Unicode MS"/>
      <w:b/>
      <w:bCs/>
      <w:i/>
      <w:iCs/>
      <w:sz w:val="22"/>
    </w:rPr>
  </w:style>
  <w:style w:type="paragraph" w:styleId="Ttulo4">
    <w:name w:val="heading 4"/>
    <w:basedOn w:val="Normal"/>
    <w:next w:val="Normal"/>
    <w:qFormat/>
    <w:rsid w:val="00EF73C9"/>
    <w:pPr>
      <w:keepNext/>
      <w:spacing w:line="360" w:lineRule="auto"/>
      <w:jc w:val="center"/>
      <w:outlineLvl w:val="3"/>
    </w:pPr>
    <w:rPr>
      <w:rFonts w:ascii="Trebuchet MS" w:hAnsi="Trebuchet MS" w:cs="Arial Unicode MS"/>
      <w:b/>
      <w:bCs/>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semiHidden/>
    <w:rsid w:val="00EF73C9"/>
    <w:pPr>
      <w:tabs>
        <w:tab w:val="center" w:pos="4419"/>
        <w:tab w:val="right" w:pos="8838"/>
      </w:tabs>
    </w:pPr>
  </w:style>
  <w:style w:type="paragraph" w:styleId="Piedepgina">
    <w:name w:val="footer"/>
    <w:basedOn w:val="Normal"/>
    <w:semiHidden/>
    <w:rsid w:val="00EF73C9"/>
    <w:pPr>
      <w:tabs>
        <w:tab w:val="center" w:pos="4419"/>
        <w:tab w:val="right" w:pos="8838"/>
      </w:tabs>
    </w:pPr>
  </w:style>
  <w:style w:type="paragraph" w:styleId="Ttulo">
    <w:name w:val="Title"/>
    <w:basedOn w:val="Normal"/>
    <w:qFormat/>
    <w:rsid w:val="00EF73C9"/>
    <w:pPr>
      <w:jc w:val="center"/>
    </w:pPr>
    <w:rPr>
      <w:rFonts w:ascii="Tahoma" w:hAnsi="Tahoma" w:cs="Tahoma"/>
      <w:b/>
      <w:bCs/>
      <w:u w:val="single"/>
    </w:rPr>
  </w:style>
  <w:style w:type="paragraph" w:styleId="Subttulo">
    <w:name w:val="Subtitle"/>
    <w:basedOn w:val="Normal"/>
    <w:qFormat/>
    <w:rsid w:val="00EF73C9"/>
    <w:pPr>
      <w:jc w:val="center"/>
    </w:pPr>
    <w:rPr>
      <w:rFonts w:ascii="Tahoma" w:hAnsi="Tahoma" w:cs="Tahoma"/>
      <w:u w:val="single"/>
    </w:rPr>
  </w:style>
  <w:style w:type="paragraph" w:styleId="Sangradetextonormal">
    <w:name w:val="Body Text Indent"/>
    <w:basedOn w:val="Normal"/>
    <w:semiHidden/>
    <w:rsid w:val="00EF73C9"/>
    <w:pPr>
      <w:spacing w:before="90" w:after="90"/>
      <w:ind w:firstLine="2160"/>
      <w:jc w:val="both"/>
    </w:pPr>
    <w:rPr>
      <w:rFonts w:ascii="Book Antiqua" w:hAnsi="Book Antiqua" w:cs="Tahoma"/>
      <w:sz w:val="22"/>
    </w:rPr>
  </w:style>
  <w:style w:type="paragraph" w:styleId="Sangra2detindependiente">
    <w:name w:val="Body Text Indent 2"/>
    <w:basedOn w:val="Normal"/>
    <w:semiHidden/>
    <w:rsid w:val="00EF73C9"/>
    <w:pPr>
      <w:spacing w:before="90" w:after="90"/>
      <w:ind w:firstLine="2040"/>
      <w:jc w:val="both"/>
    </w:pPr>
    <w:rPr>
      <w:rFonts w:ascii="Book Antiqua" w:hAnsi="Book Antiqua" w:cs="Tahoma"/>
      <w:sz w:val="22"/>
    </w:rPr>
  </w:style>
  <w:style w:type="paragraph" w:styleId="Sangra3detindependiente">
    <w:name w:val="Body Text Indent 3"/>
    <w:basedOn w:val="Normal"/>
    <w:semiHidden/>
    <w:rsid w:val="00EF73C9"/>
    <w:pPr>
      <w:ind w:firstLine="1800"/>
      <w:jc w:val="both"/>
    </w:pPr>
    <w:rPr>
      <w:rFonts w:ascii="Arial Unicode MS" w:hAnsi="Arial Unicode MS" w:cs="Arial Unicode MS"/>
      <w:sz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626</Words>
  <Characters>3449</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Expediente: 191-Y-04</vt:lpstr>
    </vt:vector>
  </TitlesOfParts>
  <Company/>
  <LinksUpToDate>false</LinksUpToDate>
  <CharactersWithSpaces>4067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Expediente: 191-Y-04</dc:title>
  <dc:subject/>
  <dc:creator>Manzano Nancy Mabel</dc:creator>
  <cp:keywords/>
  <dc:description/>
  <cp:lastModifiedBy>usuario</cp:lastModifiedBy>
  <cp:revision>12</cp:revision>
  <cp:lastPrinted>2004-08-27T12:49:00Z</cp:lastPrinted>
  <dcterms:created xsi:type="dcterms:W3CDTF">2017-05-11T14:08:00Z</dcterms:created>
  <dcterms:modified xsi:type="dcterms:W3CDTF">2017-06-06T11:56:00Z</dcterms:modified>
</cp:coreProperties>
</file>