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711B7" w:rsidRPr="002834E7" w:rsidRDefault="005711B7" w:rsidP="002834E7">
      <w:pPr>
        <w:spacing w:after="200"/>
        <w:jc w:val="right"/>
        <w:rPr>
          <w:bCs/>
        </w:rPr>
      </w:pPr>
      <w:r w:rsidRPr="002834E7">
        <w:rPr>
          <w:bCs/>
        </w:rPr>
        <w:t>Yerba Buena, 29 de Octubre de 2003</w:t>
      </w:r>
    </w:p>
    <w:p w:rsidR="005711B7" w:rsidRPr="002834E7" w:rsidRDefault="005711B7" w:rsidP="002834E7">
      <w:pPr>
        <w:spacing w:after="200"/>
        <w:rPr>
          <w:bCs/>
        </w:rPr>
      </w:pPr>
      <w:r w:rsidRPr="002834E7">
        <w:rPr>
          <w:bCs/>
        </w:rPr>
        <w:t>ORDENANZA Nº 1329</w:t>
      </w:r>
    </w:p>
    <w:p w:rsidR="00393C31" w:rsidRPr="002834E7" w:rsidRDefault="005711B7" w:rsidP="002834E7">
      <w:pPr>
        <w:spacing w:after="200"/>
        <w:jc w:val="both"/>
      </w:pPr>
      <w:r w:rsidRPr="002834E7">
        <w:rPr>
          <w:bCs/>
        </w:rPr>
        <w:t xml:space="preserve">VISTO: </w:t>
      </w:r>
      <w:r w:rsidR="004B38A6" w:rsidRPr="002834E7">
        <w:t>El Convenio suscripto el día 28 de Octubre de 2003, entre esta Municipalidad y los Sres. Miguel Angel Matas, Alba Adriana Matas y Rosa Aurora Matas; y</w:t>
      </w:r>
    </w:p>
    <w:p w:rsidR="005437BF" w:rsidRPr="002834E7" w:rsidRDefault="005711B7" w:rsidP="002834E7">
      <w:pPr>
        <w:spacing w:after="200"/>
        <w:jc w:val="both"/>
      </w:pPr>
      <w:r w:rsidRPr="002834E7">
        <w:rPr>
          <w:bCs/>
        </w:rPr>
        <w:t xml:space="preserve">CONSIDERANDO: </w:t>
      </w:r>
      <w:r w:rsidR="004B38A6" w:rsidRPr="002834E7">
        <w:t>Que dicho Convenio surge de los antecedentes obrantes en Expte. Nº 4544-M17-M-03;</w:t>
      </w:r>
    </w:p>
    <w:p w:rsidR="005437BF" w:rsidRPr="002834E7" w:rsidRDefault="004B38A6" w:rsidP="002834E7">
      <w:pPr>
        <w:spacing w:after="200"/>
        <w:jc w:val="both"/>
      </w:pPr>
      <w:r w:rsidRPr="002834E7">
        <w:t>Que el objeto del mismo es la búsqueda de una solución divergente originada en parte por la falta de accesos, en parte por el actual estado de calle Las Higueritas y en parte por utilizar a la propiedad como destino final y sin salida de caudales superficiales;</w:t>
      </w:r>
    </w:p>
    <w:p w:rsidR="005437BF" w:rsidRPr="002834E7" w:rsidRDefault="004B38A6" w:rsidP="002834E7">
      <w:pPr>
        <w:spacing w:after="200"/>
        <w:jc w:val="both"/>
      </w:pPr>
      <w:r w:rsidRPr="002834E7">
        <w:t>Que de conformidad a los pre</w:t>
      </w:r>
      <w:r w:rsidR="003C0BAB" w:rsidRPr="002834E7">
        <w:t>VISTO</w:t>
      </w:r>
      <w:r w:rsidRPr="002834E7">
        <w:t>por la Ley Orgánica de Municipalidades en su Art. 24 y en su Art. 17, Inc. 10 y 24, es procedente la celebración del presente Convenio;</w:t>
      </w:r>
    </w:p>
    <w:p w:rsidR="005437BF" w:rsidRPr="002834E7" w:rsidRDefault="004B38A6" w:rsidP="002834E7">
      <w:pPr>
        <w:spacing w:after="200"/>
        <w:jc w:val="both"/>
      </w:pPr>
      <w:r w:rsidRPr="002834E7">
        <w:t>Que al no existir objeciones legales al respecto, corresponde emitir el instrumento legal pertinente, a efectos de su aprobación;</w:t>
      </w:r>
    </w:p>
    <w:p w:rsidR="00393C31" w:rsidRPr="002834E7" w:rsidRDefault="004B38A6" w:rsidP="002834E7">
      <w:pPr>
        <w:spacing w:after="200"/>
        <w:jc w:val="both"/>
      </w:pPr>
      <w:r w:rsidRPr="002834E7">
        <w:t>Por ello y en uso de las facultades que le confiere el Decreto Nº 863/14</w:t>
      </w:r>
      <w:r w:rsidR="005711B7" w:rsidRPr="002834E7">
        <w:t xml:space="preserve"> </w:t>
      </w:r>
      <w:r w:rsidR="002834E7">
        <w:t xml:space="preserve">                    (</w:t>
      </w:r>
      <w:r w:rsidRPr="002834E7">
        <w:t>MGyJ</w:t>
      </w:r>
      <w:r w:rsidR="002834E7">
        <w:t xml:space="preserve">) </w:t>
      </w:r>
      <w:r w:rsidR="005711B7" w:rsidRPr="002834E7">
        <w:t xml:space="preserve"> </w:t>
      </w:r>
      <w:r w:rsidRPr="002834E7">
        <w:t>de fecha 06 de Mayo de 2003, emitido por el Poder Ejecutivo Provincial;</w:t>
      </w:r>
    </w:p>
    <w:p w:rsidR="00393C31" w:rsidRPr="002834E7" w:rsidRDefault="004B38A6" w:rsidP="002834E7">
      <w:pPr>
        <w:pStyle w:val="Ttulo2"/>
        <w:keepNext w:val="0"/>
        <w:spacing w:after="200" w:line="240" w:lineRule="auto"/>
        <w:rPr>
          <w:rFonts w:ascii="Times New Roman" w:hAnsi="Times New Roman" w:cs="Times New Roman"/>
          <w:bCs/>
          <w:i w:val="0"/>
          <w:iCs w:val="0"/>
          <w:sz w:val="24"/>
        </w:rPr>
      </w:pPr>
      <w:r w:rsidRPr="002834E7">
        <w:rPr>
          <w:rFonts w:ascii="Times New Roman" w:hAnsi="Times New Roman" w:cs="Times New Roman"/>
          <w:bCs/>
          <w:i w:val="0"/>
          <w:iCs w:val="0"/>
          <w:sz w:val="24"/>
        </w:rPr>
        <w:t>EL INTERVENTOR MUNICIPAL</w:t>
      </w:r>
    </w:p>
    <w:p w:rsidR="00393C31" w:rsidRPr="002834E7" w:rsidRDefault="004B38A6" w:rsidP="002834E7">
      <w:pPr>
        <w:pStyle w:val="Ttulo3"/>
        <w:keepNext w:val="0"/>
        <w:spacing w:after="200" w:line="240" w:lineRule="auto"/>
        <w:rPr>
          <w:rFonts w:ascii="Times New Roman" w:hAnsi="Times New Roman" w:cs="Times New Roman"/>
          <w:b w:val="0"/>
          <w:i w:val="0"/>
          <w:iCs w:val="0"/>
          <w:sz w:val="24"/>
        </w:rPr>
      </w:pPr>
      <w:r w:rsidRPr="002834E7">
        <w:rPr>
          <w:rFonts w:ascii="Times New Roman" w:hAnsi="Times New Roman" w:cs="Times New Roman"/>
          <w:b w:val="0"/>
          <w:i w:val="0"/>
          <w:iCs w:val="0"/>
          <w:sz w:val="24"/>
        </w:rPr>
        <w:t>SANCIONA Y PROMULGA CON FUERZA DE</w:t>
      </w:r>
    </w:p>
    <w:p w:rsidR="005437BF" w:rsidRPr="002834E7" w:rsidRDefault="004B38A6" w:rsidP="002834E7">
      <w:pPr>
        <w:spacing w:after="200"/>
        <w:jc w:val="center"/>
      </w:pPr>
      <w:r w:rsidRPr="002834E7">
        <w:rPr>
          <w:bCs/>
        </w:rPr>
        <w:t>ORDENANZA</w:t>
      </w:r>
    </w:p>
    <w:p w:rsidR="002834E7" w:rsidRDefault="003C0BAB" w:rsidP="002834E7">
      <w:pPr>
        <w:spacing w:after="200"/>
        <w:jc w:val="both"/>
      </w:pPr>
      <w:r w:rsidRPr="002834E7">
        <w:t xml:space="preserve">ARTICULO PRIMERO: </w:t>
      </w:r>
      <w:r w:rsidR="004B38A6" w:rsidRPr="002834E7">
        <w:t>APRUEBASE en todos sus términos, el CONVENIO suscripto con fecha 28/10/03 entre la Municipalidad y los Sres. Miguel Angel Matas, DNI Nº 8.088.034, Alba Adriana Matas, DNI Nº 12.449.418 y la Sra. Rosa Aurora Matas, L.C. Nº 6.147.739, con el objeto mencionado, el que como Anexo Unico forma parte integrante de la presente Ordenanza.</w:t>
      </w:r>
    </w:p>
    <w:p w:rsidR="00393C31" w:rsidRPr="002834E7" w:rsidRDefault="00393C31" w:rsidP="002834E7">
      <w:pPr>
        <w:spacing w:after="200"/>
        <w:jc w:val="both"/>
      </w:pPr>
      <w:r w:rsidRPr="002834E7">
        <w:t xml:space="preserve"> </w:t>
      </w:r>
      <w:r w:rsidR="003C0BAB" w:rsidRPr="002834E7">
        <w:t xml:space="preserve">ARTICULO SEGUNDO: </w:t>
      </w:r>
      <w:r w:rsidR="004B38A6" w:rsidRPr="002834E7">
        <w:t>Dispónese que el sellado de Ley del referido convenio deberá ser efectuado por los Interesados en el término de 48 hs., a partir de la fecha de emisión de la presente Ordenanza, en razón de que en el día de la fecha se ha declarado Asueto Administrativo por el Poder Ejecutivo Provincial.</w:t>
      </w:r>
    </w:p>
    <w:p w:rsidR="00393C31" w:rsidRPr="002834E7" w:rsidRDefault="003C0BAB" w:rsidP="002834E7">
      <w:pPr>
        <w:spacing w:after="200"/>
        <w:jc w:val="both"/>
      </w:pPr>
      <w:r w:rsidRPr="002834E7">
        <w:t xml:space="preserve">ARTICULO TERCERO: </w:t>
      </w:r>
      <w:r w:rsidR="004B38A6" w:rsidRPr="002834E7">
        <w:t>COMUNIQUESE, COPIESE Y ARCHIVESE</w:t>
      </w:r>
    </w:p>
    <w:p w:rsidR="00393C31" w:rsidRPr="002834E7" w:rsidRDefault="004B38A6" w:rsidP="002834E7">
      <w:pPr>
        <w:spacing w:after="200"/>
        <w:jc w:val="both"/>
      </w:pPr>
      <w:r w:rsidRPr="002834E7">
        <w:t>ANEXO UNICO</w:t>
      </w:r>
    </w:p>
    <w:p w:rsidR="00393C31" w:rsidRPr="002834E7" w:rsidRDefault="004B38A6" w:rsidP="002834E7">
      <w:pPr>
        <w:spacing w:after="200"/>
        <w:jc w:val="both"/>
      </w:pPr>
      <w:r w:rsidRPr="002834E7">
        <w:t xml:space="preserve">Entre </w:t>
      </w:r>
      <w:r w:rsidRPr="002834E7">
        <w:rPr>
          <w:caps/>
        </w:rPr>
        <w:t>Miguel Angel Matas</w:t>
      </w:r>
      <w:r w:rsidRPr="002834E7">
        <w:t xml:space="preserve">, L.E. Nº 8.088.034, </w:t>
      </w:r>
      <w:r w:rsidRPr="002834E7">
        <w:rPr>
          <w:caps/>
        </w:rPr>
        <w:t>Alba Adriana Matas</w:t>
      </w:r>
      <w:r w:rsidRPr="002834E7">
        <w:t xml:space="preserve">, D.N.I. Nº 12.449.418 y </w:t>
      </w:r>
      <w:r w:rsidRPr="002834E7">
        <w:rPr>
          <w:caps/>
        </w:rPr>
        <w:t>Rosa Aurora Matas</w:t>
      </w:r>
      <w:r w:rsidRPr="002834E7">
        <w:t>, L.C. Nº 6.147.739, quienes fijan domicilio en calle Jujuy Nº 3.297 de la Ciudad de San Miguel de Tucumán –en adelante la parte Propietaria o los CEDENTES- y la MUNICIPALIDAD DE YERBA BUENA, representada por el C.P.N. Pedro Migliorini, L.E. 7.797.325, en carácter de Interventor Municipal, según Decreto Provincial Nº 863/14</w:t>
      </w:r>
      <w:r w:rsidR="005711B7" w:rsidRPr="002834E7">
        <w:t xml:space="preserve"> </w:t>
      </w:r>
      <w:r w:rsidR="002834E7">
        <w:t xml:space="preserve">                    (</w:t>
      </w:r>
      <w:r w:rsidRPr="002834E7">
        <w:t>MGyJ</w:t>
      </w:r>
      <w:r w:rsidR="002834E7">
        <w:t xml:space="preserve">) </w:t>
      </w:r>
      <w:r w:rsidR="005711B7" w:rsidRPr="002834E7">
        <w:t xml:space="preserve"> </w:t>
      </w:r>
      <w:r w:rsidRPr="002834E7">
        <w:t>03, con domicilio en Avda. Aconquija 1991 de la Ciudad de Yerba Buena -en adelante la CESIONARIA- celebran el presente Convenio sujeto a las siguientes cláusulas:</w:t>
      </w:r>
    </w:p>
    <w:p w:rsidR="005437BF" w:rsidRPr="002834E7" w:rsidRDefault="004B38A6" w:rsidP="002834E7">
      <w:pPr>
        <w:spacing w:after="200"/>
        <w:jc w:val="both"/>
      </w:pPr>
      <w:r w:rsidRPr="002834E7">
        <w:t>PRIMERA</w:t>
      </w:r>
      <w:r w:rsidR="005711B7" w:rsidRPr="002834E7">
        <w:t xml:space="preserve">: </w:t>
      </w:r>
      <w:r w:rsidRPr="002834E7">
        <w:t>EL TERRENO: Los CEDENTES entre el 500 y 800 de calle “Las Higueritas” son titulares de un predio compuesto por dos parcelas</w:t>
      </w:r>
      <w:r w:rsidR="005711B7" w:rsidRPr="002834E7">
        <w:t xml:space="preserve"> </w:t>
      </w:r>
      <w:r w:rsidR="002834E7">
        <w:t xml:space="preserve">                    </w:t>
      </w:r>
      <w:r w:rsidR="002834E7">
        <w:lastRenderedPageBreak/>
        <w:t>(</w:t>
      </w:r>
      <w:r w:rsidRPr="002834E7">
        <w:t>Fracciones “A” y “C” – Padrón 675.438</w:t>
      </w:r>
      <w:r w:rsidR="002834E7">
        <w:t xml:space="preserve">) </w:t>
      </w:r>
      <w:r w:rsidR="005711B7" w:rsidRPr="002834E7">
        <w:t xml:space="preserve"> </w:t>
      </w:r>
      <w:r w:rsidRPr="002834E7">
        <w:t>entre si separadas por el Canal Cainzo. El inmueble se ubica en el vértice Sur Oeste del egido de Yerba Buena y desde hace tiempo viene siendo utilizado por la Municipalidad como “sumidero final” de los caudales superficiales que por esa calle corren hacia el Este</w:t>
      </w:r>
      <w:r w:rsidR="005711B7" w:rsidRPr="002834E7">
        <w:t xml:space="preserve"> </w:t>
      </w:r>
      <w:r w:rsidR="002834E7">
        <w:t xml:space="preserve">                    (</w:t>
      </w:r>
      <w:r w:rsidRPr="002834E7">
        <w:t>una cuenca extensa con flujos que nacen desde el Barrio Telefónico al Oeste y desde Av. Perón hacia el Sur</w:t>
      </w:r>
      <w:r w:rsidR="002834E7">
        <w:t xml:space="preserve">) . </w:t>
      </w:r>
      <w:r w:rsidRPr="002834E7">
        <w:t xml:space="preserve"> La necesidad de abrir esa arteria hacia el naciente</w:t>
      </w:r>
      <w:r w:rsidR="005711B7" w:rsidRPr="002834E7">
        <w:t xml:space="preserve"> </w:t>
      </w:r>
      <w:r w:rsidR="002834E7">
        <w:t xml:space="preserve">                    (</w:t>
      </w:r>
      <w:r w:rsidRPr="002834E7">
        <w:t>contemplando un eventual ensanche</w:t>
      </w:r>
      <w:r w:rsidR="002834E7">
        <w:t xml:space="preserve">) </w:t>
      </w:r>
      <w:r w:rsidR="005711B7" w:rsidRPr="002834E7">
        <w:t xml:space="preserve"> </w:t>
      </w:r>
      <w:r w:rsidRPr="002834E7">
        <w:t>y el poner operativo a un irregular encauce para desagües realizado en el interior de la propiedad son puntos del interés Municipal. A su vez los propietarios vienen reclamando por la falta de accesos y por el indebido uso que se le viene dando al predio y han advertido sobre la necesidad de materializar una salida a los caudales superficiales que ingresan al terreno últimamente acrecentados por canalizaciones</w:t>
      </w:r>
      <w:r w:rsidR="005711B7" w:rsidRPr="002834E7">
        <w:t xml:space="preserve"> </w:t>
      </w:r>
      <w:r w:rsidR="002834E7">
        <w:t xml:space="preserve">                    (</w:t>
      </w:r>
      <w:r w:rsidRPr="002834E7">
        <w:t>“cuneteado”</w:t>
      </w:r>
      <w:r w:rsidR="002834E7">
        <w:t xml:space="preserve">) </w:t>
      </w:r>
      <w:r w:rsidR="005711B7" w:rsidRPr="002834E7">
        <w:t xml:space="preserve"> </w:t>
      </w:r>
      <w:r w:rsidRPr="002834E7">
        <w:t>y movimientos de suelos realizados por la Municipalidad tanto aguas arriba de la propiedad como en el interior de la misma.</w:t>
      </w:r>
    </w:p>
    <w:p w:rsidR="005437BF" w:rsidRPr="002834E7" w:rsidRDefault="004B38A6" w:rsidP="002834E7">
      <w:pPr>
        <w:spacing w:after="200"/>
        <w:jc w:val="both"/>
      </w:pPr>
      <w:r w:rsidRPr="002834E7">
        <w:t>SEGUNDA: OBJETO: En búsqueda de una solución a la situación divergente originada en parte por la falta de accesos, en parte por el actual estado de calle “Las Higueritas” y en parte por utilizar la propiedad como “destino final” y sin salida de caudales superficiales</w:t>
      </w:r>
      <w:r w:rsidR="005711B7" w:rsidRPr="002834E7">
        <w:t xml:space="preserve"> </w:t>
      </w:r>
      <w:r w:rsidR="002834E7">
        <w:t xml:space="preserve">                    (</w:t>
      </w:r>
      <w:r w:rsidRPr="002834E7">
        <w:t>mayormente generados por pérdidas de cañerías de O.S.T.</w:t>
      </w:r>
      <w:r w:rsidR="002834E7">
        <w:t xml:space="preserve">) , </w:t>
      </w:r>
      <w:r w:rsidRPr="002834E7">
        <w:t xml:space="preserve"> las partes acuerdan lo siguiente:</w:t>
      </w:r>
    </w:p>
    <w:p w:rsidR="005437BF" w:rsidRPr="002834E7" w:rsidRDefault="004B38A6" w:rsidP="002834E7">
      <w:pPr>
        <w:numPr>
          <w:ilvl w:val="0"/>
          <w:numId w:val="5"/>
        </w:numPr>
        <w:spacing w:after="200"/>
        <w:ind w:left="0" w:firstLine="0"/>
        <w:jc w:val="both"/>
      </w:pPr>
      <w:r w:rsidRPr="002834E7">
        <w:t>La realización de un Proyecto Integral incluyendo la Apertura y Ampliación de “Calle Las Higueritas”. Parta ello la Municipalidad solicita y la parte propietaria concede la posibilidad de agregar 16 m al ancho actual de calle “La Higueritas”</w:t>
      </w:r>
      <w:r w:rsidR="005711B7" w:rsidRPr="002834E7">
        <w:t xml:space="preserve"> </w:t>
      </w:r>
      <w:r w:rsidR="002834E7">
        <w:t xml:space="preserve">                    (</w:t>
      </w:r>
      <w:r w:rsidRPr="002834E7">
        <w:t>hoy de 14 m. según último plano aprobado</w:t>
      </w:r>
      <w:r w:rsidR="002834E7">
        <w:t xml:space="preserve">) . </w:t>
      </w:r>
      <w:r w:rsidRPr="002834E7">
        <w:t xml:space="preserve"> En esa superficie la Cesionaria realizará una obra de desagüe provisoria</w:t>
      </w:r>
      <w:r w:rsidR="005711B7" w:rsidRPr="002834E7">
        <w:t xml:space="preserve"> </w:t>
      </w:r>
      <w:r w:rsidR="002834E7">
        <w:t xml:space="preserve">                    (</w:t>
      </w:r>
      <w:r w:rsidRPr="002834E7">
        <w:t>dando salida a los caudales</w:t>
      </w:r>
      <w:r w:rsidR="002834E7">
        <w:t xml:space="preserve">) </w:t>
      </w:r>
      <w:r w:rsidR="005711B7" w:rsidRPr="002834E7">
        <w:t xml:space="preserve"> </w:t>
      </w:r>
      <w:r w:rsidRPr="002834E7">
        <w:t>y simultáneamente dará inicio a un Proyecto Integral más amplio que abarcando a toda la propiedad detalle a las obras necesarias para abrir al Este a futura calle “Las Higueritas” y a las obras definitivas para descargar flujos en el Canal Cainzo. La Municipalidad –como parte del Proyecto Integral abarcativo de la propiedad- realizará acciones propias y gestiones ante terceros competentes</w:t>
      </w:r>
      <w:r w:rsidR="005711B7" w:rsidRPr="002834E7">
        <w:t xml:space="preserve"> </w:t>
      </w:r>
      <w:r w:rsidR="002834E7">
        <w:t xml:space="preserve">                    (</w:t>
      </w:r>
      <w:r w:rsidRPr="002834E7">
        <w:t>Dirección Provincial del Agua, Vialidad Provincial, etc.</w:t>
      </w:r>
      <w:r w:rsidR="002834E7">
        <w:t xml:space="preserve">) , </w:t>
      </w:r>
      <w:r w:rsidRPr="002834E7">
        <w:t xml:space="preserve"> dejando definido y pre</w:t>
      </w:r>
      <w:r w:rsidR="003C0BAB" w:rsidRPr="002834E7">
        <w:t>VISTO</w:t>
      </w:r>
      <w:r w:rsidRPr="002834E7">
        <w:t>a un Anteproyecto de circulación vehicular a las circulaciones sobre caminos de “zirga” y a las obras de conexión dando fluidez a un Sistema de Desagües que no interfiera sobre el Anteproyecto de circulación vehicular futura. El proyecto de desagües y apertura al Este de calle “Las Higueritas” se realizará ajustándolo a las particularidades del terreno y proyectando una descarga sobre el Canal que la cruza.</w:t>
      </w:r>
    </w:p>
    <w:p w:rsidR="005437BF" w:rsidRPr="002834E7" w:rsidRDefault="004B38A6" w:rsidP="002834E7">
      <w:pPr>
        <w:numPr>
          <w:ilvl w:val="0"/>
          <w:numId w:val="5"/>
        </w:numPr>
        <w:spacing w:after="200"/>
        <w:ind w:left="0" w:firstLine="0"/>
        <w:jc w:val="both"/>
      </w:pPr>
      <w:r w:rsidRPr="002834E7">
        <w:t>El tema de “Ciudad perdida”: La parte Cedente mantiene una situación</w:t>
      </w:r>
      <w:r w:rsidR="00393C31" w:rsidRPr="002834E7">
        <w:t xml:space="preserve"> </w:t>
      </w:r>
      <w:r w:rsidRPr="002834E7">
        <w:t>litigiosa con un grupo de ocupantes y ha iniciado un Juicio de Desalojo reclamando la desocupación de la zona Sur Oeste del terreno. A propósito de este punto, la Municipalidad ha expresado su interés en promover una solución de consenso en reemplazo del litigio, viniendo para ello a solicitar de la parte propietaria disponibilidad sobre una segunda superficie paralela a la primera y de 26 m. de ancho. La Municipalidad –entre las dos solicitudes- viene entonces a requerir una superficie total de 52 m. por todo el ancho de la propiedad</w:t>
      </w:r>
      <w:r w:rsidR="005711B7" w:rsidRPr="002834E7">
        <w:t xml:space="preserve"> </w:t>
      </w:r>
      <w:r w:rsidR="002834E7">
        <w:t xml:space="preserve">                    (</w:t>
      </w:r>
      <w:r w:rsidRPr="002834E7">
        <w:t>aprox. 378 m.</w:t>
      </w:r>
      <w:r w:rsidR="002834E7">
        <w:t xml:space="preserve">) . </w:t>
      </w:r>
      <w:r w:rsidRPr="002834E7">
        <w:t xml:space="preserve"> Sobre la primera superficie</w:t>
      </w:r>
      <w:r w:rsidR="005711B7" w:rsidRPr="002834E7">
        <w:t xml:space="preserve"> </w:t>
      </w:r>
      <w:r w:rsidR="002834E7">
        <w:t xml:space="preserve">                    (</w:t>
      </w:r>
      <w:r w:rsidRPr="002834E7">
        <w:t>30 m</w:t>
      </w:r>
      <w:r w:rsidR="002834E7">
        <w:t xml:space="preserve">) </w:t>
      </w:r>
      <w:r w:rsidR="005711B7" w:rsidRPr="002834E7">
        <w:t xml:space="preserve"> </w:t>
      </w:r>
      <w:r w:rsidRPr="002834E7">
        <w:t>se desarrollará el proyecto ampliando a calle “Las Higueritas”. Sobre la segunda superficie</w:t>
      </w:r>
      <w:r w:rsidR="005711B7" w:rsidRPr="002834E7">
        <w:t xml:space="preserve"> </w:t>
      </w:r>
      <w:r w:rsidR="002834E7">
        <w:t xml:space="preserve">                    (</w:t>
      </w:r>
      <w:r w:rsidRPr="002834E7">
        <w:t>26 x 378 m.</w:t>
      </w:r>
      <w:r w:rsidR="002834E7">
        <w:t xml:space="preserve">) , </w:t>
      </w:r>
      <w:r w:rsidRPr="002834E7">
        <w:t xml:space="preserve"> la Municipalidad realizará un parcelamiento</w:t>
      </w:r>
      <w:r w:rsidR="005711B7" w:rsidRPr="002834E7">
        <w:t xml:space="preserve"> </w:t>
      </w:r>
      <w:r w:rsidR="002834E7">
        <w:t xml:space="preserve">                    (</w:t>
      </w:r>
      <w:r w:rsidRPr="002834E7">
        <w:t>lotes de hasta 9 x 26 m2</w:t>
      </w:r>
      <w:r w:rsidR="002834E7">
        <w:t xml:space="preserve">) </w:t>
      </w:r>
      <w:r w:rsidR="005711B7" w:rsidRPr="002834E7">
        <w:t xml:space="preserve"> </w:t>
      </w:r>
      <w:r w:rsidRPr="002834E7">
        <w:t xml:space="preserve">producidos por la Cesionaria para ser transferidos única y exclusivamente a los tenedores previamente habilitados por Convenio con la Cedente. Sobre las Base de un Relevamiento de la zona y parcelas ocupadas –que tiene realizado la Propietaria-, ésta </w:t>
      </w:r>
      <w:r w:rsidRPr="002834E7">
        <w:lastRenderedPageBreak/>
        <w:t>convendrá con los tenedores la desocupación de las parcelas relevadas. De este modo quedarán habilitados ante la Cesionaria para acceder al lote que la Municipalidad –en venta- les ha de transferir.</w:t>
      </w:r>
    </w:p>
    <w:p w:rsidR="005437BF" w:rsidRPr="002834E7" w:rsidRDefault="004B38A6" w:rsidP="002834E7">
      <w:pPr>
        <w:spacing w:after="200"/>
        <w:jc w:val="both"/>
      </w:pPr>
      <w:r w:rsidRPr="002834E7">
        <w:t>Como primera Etapa o labor técnica inicial la Cesionaria realizará una mensura/nivelación topográfica y relevamiento de las obras previstas para la futura y ampliada calle “Las Higueritas”</w:t>
      </w:r>
      <w:r w:rsidR="005711B7" w:rsidRPr="002834E7">
        <w:t xml:space="preserve"> </w:t>
      </w:r>
      <w:r w:rsidR="002834E7">
        <w:t xml:space="preserve">                    (</w:t>
      </w:r>
      <w:r w:rsidRPr="002834E7">
        <w:t>una franja de 30 x 378 m2</w:t>
      </w:r>
      <w:r w:rsidR="002834E7">
        <w:t xml:space="preserve">) </w:t>
      </w:r>
      <w:r w:rsidR="005711B7" w:rsidRPr="002834E7">
        <w:t xml:space="preserve"> </w:t>
      </w:r>
      <w:r w:rsidRPr="002834E7">
        <w:t>integrando también a la primera Etapa y para la obtención de los lotes</w:t>
      </w:r>
      <w:r w:rsidR="005711B7" w:rsidRPr="002834E7">
        <w:t xml:space="preserve"> </w:t>
      </w:r>
      <w:r w:rsidR="002834E7">
        <w:t xml:space="preserve">                    (</w:t>
      </w:r>
      <w:r w:rsidRPr="002834E7">
        <w:t>aprox. 9 x 26 c/u</w:t>
      </w:r>
      <w:r w:rsidR="002834E7">
        <w:t xml:space="preserve">) </w:t>
      </w:r>
      <w:r w:rsidR="005711B7" w:rsidRPr="002834E7">
        <w:t xml:space="preserve"> </w:t>
      </w:r>
      <w:r w:rsidRPr="002834E7">
        <w:t>la misma tarea de mensura, nivelación y relevamiento se realizará sobre la segunda “franja”</w:t>
      </w:r>
      <w:r w:rsidR="005711B7" w:rsidRPr="002834E7">
        <w:t xml:space="preserve"> </w:t>
      </w:r>
      <w:r w:rsidR="002834E7">
        <w:t xml:space="preserve">                    (</w:t>
      </w:r>
      <w:r w:rsidRPr="002834E7">
        <w:t>una superficie aprox. de 26 x 378 m2</w:t>
      </w:r>
      <w:r w:rsidR="002834E7">
        <w:t xml:space="preserve">) </w:t>
      </w:r>
      <w:r w:rsidR="005711B7" w:rsidRPr="002834E7">
        <w:t xml:space="preserve"> </w:t>
      </w:r>
      <w:r w:rsidRPr="002834E7">
        <w:t>o el Proyecto de los lotes a transferir después de las habilitaciones que tendrán previstos espacios para el cruce de como mínimo tres calles Norte-Sur, y si quedare un sobrante de terreno, el mismo será íntegramente parquizado y transferido al Dominio Público Municipal, ubicándolo hacia el extremo más bajo de la futura calle “Las Higueritas” y hasta unificarse con la zona del Canal Cainzo.</w:t>
      </w:r>
    </w:p>
    <w:p w:rsidR="005437BF" w:rsidRPr="002834E7" w:rsidRDefault="004B38A6" w:rsidP="002834E7">
      <w:pPr>
        <w:spacing w:after="200"/>
        <w:jc w:val="both"/>
      </w:pPr>
      <w:r w:rsidRPr="002834E7">
        <w:t>Como segunda Etapa, la Comitente repetirá la tarea ahora sobre el Proyecto Integral que vincula a toda la propiedad con la trama urbana existente. La Cesionaria –una vez concluida cada etapa- hará entrega a los Cedentes de una copia de la Documentación Técnica elaborada.</w:t>
      </w:r>
    </w:p>
    <w:p w:rsidR="005437BF" w:rsidRPr="002834E7" w:rsidRDefault="004B38A6" w:rsidP="002834E7">
      <w:pPr>
        <w:spacing w:after="200"/>
        <w:jc w:val="both"/>
      </w:pPr>
      <w:r w:rsidRPr="002834E7">
        <w:t>TERCERA: AUTORIZACIÓN DE USO – CONDICIONES: La Parte Titular -al efecto de iniciar este Convenio y los trabajos-, durante un término prorrogable de 180 días autoriza a la Municipalidad a ingresar en la propiedad y a disponer de la superficie sobre la cual han de realizarse</w:t>
      </w:r>
      <w:r w:rsidR="00393C31" w:rsidRPr="002834E7">
        <w:t xml:space="preserve"> </w:t>
      </w:r>
      <w:r w:rsidRPr="002834E7">
        <w:t>la Apertura, Ensanche y Desagües de calle “Las Higueritas”</w:t>
      </w:r>
      <w:r w:rsidR="005711B7" w:rsidRPr="002834E7">
        <w:t xml:space="preserve"> </w:t>
      </w:r>
      <w:r w:rsidR="002834E7">
        <w:t xml:space="preserve">                    (</w:t>
      </w:r>
      <w:r w:rsidRPr="002834E7">
        <w:t>la primera “franja”</w:t>
      </w:r>
      <w:r w:rsidR="002834E7">
        <w:t xml:space="preserve">) , </w:t>
      </w:r>
      <w:r w:rsidRPr="002834E7">
        <w:t xml:space="preserve"> el Parcelamiento y Parquización de la segunda superficie</w:t>
      </w:r>
      <w:r w:rsidR="005711B7" w:rsidRPr="002834E7">
        <w:t xml:space="preserve"> </w:t>
      </w:r>
      <w:r w:rsidR="002834E7">
        <w:t xml:space="preserve">                    (</w:t>
      </w:r>
      <w:r w:rsidRPr="002834E7">
        <w:t>26 x 3789 m2</w:t>
      </w:r>
      <w:r w:rsidR="002834E7">
        <w:t xml:space="preserve">) </w:t>
      </w:r>
      <w:r w:rsidR="005711B7" w:rsidRPr="002834E7">
        <w:t xml:space="preserve"> </w:t>
      </w:r>
      <w:r w:rsidRPr="002834E7">
        <w:t>y el Proyecto Integral final.</w:t>
      </w:r>
    </w:p>
    <w:p w:rsidR="005437BF" w:rsidRPr="002834E7" w:rsidRDefault="004B38A6" w:rsidP="002834E7">
      <w:pPr>
        <w:spacing w:after="200"/>
        <w:jc w:val="both"/>
      </w:pPr>
      <w:r w:rsidRPr="002834E7">
        <w:t>Previo a la firma, las partes han realizado una inspección recorriendo las dos “franjas” solicitadas por la Municipalidad y el resto de la propiedad. El terreno se encuentra en su mayoría enmalezado, con alambrados totales en sus linderos Oeste y Norte, con alambrados parciales en el límite Sur e inexistentes en el lindero Este. El terreno, con relación a su contorno sobre Av. Perón es bajo y también lo es con relación a los terraplenes del área del Canal, pero no con relación a los niveles del lindero Este. Como parte del Proyecto Integral Final la Municipalidad primeramente realizará una nivelación y relevamiento perimetral de las dos fracciones vinculándolas con las vías de acceso existentes. Basándose en esa nivelación, quedarán ubicados y materializados los puntos de desagüe y fuga para caudales superficiales abarcando tanto a los que vienen corriendo por calle “Las Higueritas”</w:t>
      </w:r>
      <w:r w:rsidR="005711B7" w:rsidRPr="002834E7">
        <w:t xml:space="preserve"> </w:t>
      </w:r>
      <w:r w:rsidR="002834E7">
        <w:t xml:space="preserve">                    (</w:t>
      </w:r>
      <w:r w:rsidRPr="002834E7">
        <w:t>hacia el Este</w:t>
      </w:r>
      <w:r w:rsidR="002834E7">
        <w:t xml:space="preserve">) </w:t>
      </w:r>
      <w:r w:rsidR="005711B7" w:rsidRPr="002834E7">
        <w:t xml:space="preserve"> </w:t>
      </w:r>
      <w:r w:rsidRPr="002834E7">
        <w:t>como los provenientes del resto de la propiedad.,</w:t>
      </w:r>
    </w:p>
    <w:p w:rsidR="005437BF" w:rsidRPr="002834E7" w:rsidRDefault="004B38A6" w:rsidP="002834E7">
      <w:pPr>
        <w:spacing w:after="200"/>
        <w:jc w:val="both"/>
      </w:pPr>
      <w:r w:rsidRPr="002834E7">
        <w:t>La Municipalidad durante ese término y como mínimo ejecutará obras provisorias en calle “las Higueritas”, dando salida a los volúmenes superficiales hoy retenidos en el terreno.</w:t>
      </w:r>
    </w:p>
    <w:p w:rsidR="005437BF" w:rsidRPr="002834E7" w:rsidRDefault="004B38A6" w:rsidP="002834E7">
      <w:pPr>
        <w:spacing w:after="200"/>
        <w:jc w:val="both"/>
      </w:pPr>
      <w:r w:rsidRPr="002834E7">
        <w:t>Mientras dure este Convenio, las partes –conjuntamente- preservarán el estado de ocupación actual quedando comprometidas al deber de vigilancia y con los medios convenidos, al ejercicio de los actos que fueren necesarios para impedir cualquier turbación.</w:t>
      </w:r>
    </w:p>
    <w:p w:rsidR="005437BF" w:rsidRPr="002834E7" w:rsidRDefault="004B38A6" w:rsidP="002834E7">
      <w:pPr>
        <w:spacing w:after="200"/>
        <w:jc w:val="both"/>
      </w:pPr>
      <w:r w:rsidRPr="002834E7">
        <w:t xml:space="preserve">CUARTA. LA TRANSFERENCIA – CONDICIONES – PRECIO: Cumplidas las condiciones aquí convenidas, las partes acuerdan en que serían transferidos al Dominio </w:t>
      </w:r>
      <w:r w:rsidRPr="002834E7">
        <w:lastRenderedPageBreak/>
        <w:t>Municipal tanto la superficie destinada al “Proyecto de Calle Las Higueritas”</w:t>
      </w:r>
      <w:r w:rsidR="005711B7" w:rsidRPr="002834E7">
        <w:t xml:space="preserve"> </w:t>
      </w:r>
      <w:r w:rsidR="002834E7">
        <w:t xml:space="preserve">                    (</w:t>
      </w:r>
      <w:r w:rsidRPr="002834E7">
        <w:t>aprox. 16 x 378 m2</w:t>
      </w:r>
      <w:r w:rsidR="002834E7">
        <w:t xml:space="preserve">) </w:t>
      </w:r>
      <w:r w:rsidR="005711B7" w:rsidRPr="002834E7">
        <w:t xml:space="preserve"> </w:t>
      </w:r>
      <w:r w:rsidRPr="002834E7">
        <w:t>como una segunda sup.</w:t>
      </w:r>
      <w:r w:rsidR="005711B7" w:rsidRPr="002834E7">
        <w:t xml:space="preserve"> </w:t>
      </w:r>
      <w:r w:rsidR="002834E7">
        <w:t xml:space="preserve">                    (</w:t>
      </w:r>
      <w:r w:rsidRPr="002834E7">
        <w:t>26 x 378 m2</w:t>
      </w:r>
      <w:r w:rsidR="002834E7">
        <w:t xml:space="preserve">) </w:t>
      </w:r>
      <w:r w:rsidR="005711B7" w:rsidRPr="002834E7">
        <w:t xml:space="preserve"> </w:t>
      </w:r>
      <w:r w:rsidRPr="002834E7">
        <w:t>destinada a ser – en parte- dividida en lotes de aprox. 9 x 26 m2. Las transferencias se concretarían en permuta por Contribuciones o Impuesto Municipales futuros.</w:t>
      </w:r>
    </w:p>
    <w:p w:rsidR="005437BF" w:rsidRPr="002834E7" w:rsidRDefault="004B38A6" w:rsidP="002834E7">
      <w:pPr>
        <w:spacing w:after="200"/>
        <w:jc w:val="both"/>
      </w:pPr>
      <w:r w:rsidRPr="002834E7">
        <w:t xml:space="preserve">A los fines de fijar el “Precio”, las partes convienen en adoptar el procedimiento correspondiente a un Juicio de Expropiación y para ello conjuntamente han de solicitar actuaciones del “Tribunal Provincial de Tasaciones”. Lo que se conviene en adoptar como “Precio” para la transferencia es el “Valor Inmobiliario” de mercado en la zona, </w:t>
      </w:r>
      <w:r w:rsidR="003C0BAB" w:rsidRPr="002834E7">
        <w:t>CONSIDERANDO</w:t>
      </w:r>
      <w:r w:rsidRPr="002834E7">
        <w:t>para ello a la calle “Las Higueritas” no en la situación actual sino en la que hoy debiera tener, o sea con 14 m. de ancho, abierta y operativa hasta vincularse con las circulaciones del Canal Cainzo y con las circulaciones vehiculares urbanas vecinas. Si este procedimiento no pudiera verificarse por situaciones administrativas no previstas y transcurridos 30 días desde constatada la imposibilidad, las partes podrán recurrir a un proceso de valuación alternativo que considere la misma base</w:t>
      </w:r>
      <w:r w:rsidR="005711B7" w:rsidRPr="002834E7">
        <w:t xml:space="preserve"> </w:t>
      </w:r>
      <w:r w:rsidR="002834E7">
        <w:t xml:space="preserve">                    (</w:t>
      </w:r>
      <w:r w:rsidRPr="002834E7">
        <w:t>“el valor inmobiliario”</w:t>
      </w:r>
      <w:r w:rsidR="002834E7">
        <w:t xml:space="preserve">) </w:t>
      </w:r>
      <w:r w:rsidR="005711B7" w:rsidRPr="002834E7">
        <w:t xml:space="preserve"> </w:t>
      </w:r>
      <w:r w:rsidRPr="002834E7">
        <w:t>pero determinándolo a través de informes periciales catastrales o inmobiliarios que las partes acepten como idóneos y suficientes. El resultado obtenido de las actuaciones con participación del Tribunal de Tasaciones y las mensuras realizadas definirán el Precio de Transferencia de las superficies solicitadas que a ser abonado por la Municipalidad con un Título de Crédito. La Cesionaria –para cancelar el precio de transferencia- reconocerá al Padrón 675.438 los valores CISI vigentes hasta el 2º Bim. 2000</w:t>
      </w:r>
    </w:p>
    <w:p w:rsidR="00393C31" w:rsidRPr="002834E7" w:rsidRDefault="004B38A6" w:rsidP="002834E7">
      <w:pPr>
        <w:spacing w:after="200"/>
        <w:jc w:val="both"/>
      </w:pPr>
      <w:r w:rsidRPr="002834E7">
        <w:t>Así acordado el “Precio de Transferencia” y realizada la mensura que corresponda a cada una de las dos “franjas”, la parte propietaria –a solicitud de la Municipalidad y por nota simple- autorizará la transferencia del Dominio hacia la Cesionaria. La transferencia del Dominio –sin costos para la Cedente- se operará conforme al procedimiento administrativo que según Ordenanzas corresponda para la incorporación de propiedades particulares al Dominio Municipal. Simultáneamente con la solicitud de transferencia la Municipalidad –en pago del precio- emitirá a favor de los propietarios un título divisible y endosable conteniendo una cláusula de ajuste igual a la variación del Impuesto Inmobiliario de la D.G.R. o a la variación del costo de las contribuciones Municipales</w:t>
      </w:r>
      <w:r w:rsidR="005711B7" w:rsidRPr="002834E7">
        <w:t xml:space="preserve"> </w:t>
      </w:r>
      <w:r w:rsidR="002834E7">
        <w:t xml:space="preserve">                    (</w:t>
      </w:r>
      <w:r w:rsidRPr="002834E7">
        <w:t>la que resulte mayor</w:t>
      </w:r>
      <w:r w:rsidR="002834E7">
        <w:t xml:space="preserve">) </w:t>
      </w:r>
      <w:r w:rsidR="005711B7" w:rsidRPr="002834E7">
        <w:t xml:space="preserve"> </w:t>
      </w:r>
      <w:r w:rsidRPr="002834E7">
        <w:t>con vigencia desde la firma del presente y hasta su total utilización. El título –en un ciento por ciento- será aplicable a la cancelación de Impuestos y Contribuciones Municipales. La parte propietaria expresa y la Cedente acepta la condición de que para transferir el dominio de la segunda superficie</w:t>
      </w:r>
      <w:r w:rsidR="005711B7" w:rsidRPr="002834E7">
        <w:t xml:space="preserve"> </w:t>
      </w:r>
      <w:r w:rsidR="002834E7">
        <w:t xml:space="preserve">                    (</w:t>
      </w:r>
      <w:r w:rsidRPr="002834E7">
        <w:t>26 x 378 m2</w:t>
      </w:r>
      <w:r w:rsidR="002834E7">
        <w:t xml:space="preserve">) </w:t>
      </w:r>
      <w:r w:rsidR="005711B7" w:rsidRPr="002834E7">
        <w:t xml:space="preserve"> </w:t>
      </w:r>
      <w:r w:rsidRPr="002834E7">
        <w:t>antes deben producirse la totalidad de los Convenios y reubicaciones</w:t>
      </w:r>
    </w:p>
    <w:p w:rsidR="005437BF" w:rsidRPr="002834E7" w:rsidRDefault="004B38A6" w:rsidP="002834E7">
      <w:pPr>
        <w:spacing w:after="200"/>
        <w:jc w:val="both"/>
      </w:pPr>
      <w:r w:rsidRPr="002834E7">
        <w:t>QUINTA: TRABAJOS A CARGO DE “LA CESIONARIA”: En cumplimiento del objeto, la Municipalidad se hace cargo de las superficies cedidas, dando inicio –en los Treinta metros que componen al ancho de la futura calle “Las Higueritas”- a su ensanche y a la apertura de un desagüe con salida al Canal Cainzo además de las tareas que permitan definir el Proyecto Integral más amplio detallando las obras definitivas conforme al interés Municipal y a los objetivos acordados. En la segunda superficie</w:t>
      </w:r>
      <w:r w:rsidR="005711B7" w:rsidRPr="002834E7">
        <w:t xml:space="preserve"> </w:t>
      </w:r>
      <w:r w:rsidR="002834E7">
        <w:t xml:space="preserve">                    (</w:t>
      </w:r>
      <w:r w:rsidRPr="002834E7">
        <w:t>de 26 m.</w:t>
      </w:r>
      <w:r w:rsidR="002834E7">
        <w:t xml:space="preserve">) </w:t>
      </w:r>
      <w:r w:rsidR="005711B7" w:rsidRPr="002834E7">
        <w:t xml:space="preserve"> </w:t>
      </w:r>
      <w:r w:rsidRPr="002834E7">
        <w:t>la Municipalidad realizará el parcelamiento</w:t>
      </w:r>
      <w:r w:rsidR="005711B7" w:rsidRPr="002834E7">
        <w:t xml:space="preserve"> </w:t>
      </w:r>
      <w:r w:rsidR="002834E7">
        <w:t xml:space="preserve">                    (</w:t>
      </w:r>
      <w:r w:rsidRPr="002834E7">
        <w:t>calles – lotes – espacios verdes</w:t>
      </w:r>
      <w:r w:rsidR="002834E7">
        <w:t xml:space="preserve">) </w:t>
      </w:r>
      <w:r w:rsidR="005711B7" w:rsidRPr="002834E7">
        <w:t xml:space="preserve"> </w:t>
      </w:r>
      <w:r w:rsidRPr="002834E7">
        <w:t>a ser en parte y venta después transferido a los ocupantes que la parte titular habilite a través de Convenios Individuales para ir concluyendo con el Juicio de Desalojo.</w:t>
      </w:r>
    </w:p>
    <w:p w:rsidR="005437BF" w:rsidRPr="002834E7" w:rsidRDefault="004B38A6" w:rsidP="002834E7">
      <w:pPr>
        <w:spacing w:after="200"/>
        <w:jc w:val="both"/>
      </w:pPr>
      <w:r w:rsidRPr="002834E7">
        <w:t xml:space="preserve">Mientras dure la Autorización, hasta el momento de la efectiva transferencia y a todo efecto las superficies recibidas no devengan impuestos ni contribuciones y quedan </w:t>
      </w:r>
      <w:r w:rsidRPr="002834E7">
        <w:lastRenderedPageBreak/>
        <w:t>transitoriamente incorporadas al Espacio Público Municipal sin que ello signifique ninguna mengua ni en el actual ni en futuro Derecho de los Titulares.</w:t>
      </w:r>
    </w:p>
    <w:p w:rsidR="005437BF" w:rsidRPr="002834E7" w:rsidRDefault="004B38A6" w:rsidP="002834E7">
      <w:pPr>
        <w:spacing w:after="200"/>
        <w:jc w:val="both"/>
      </w:pPr>
      <w:r w:rsidRPr="002834E7">
        <w:t>SEXTA: TRABAJOS A CARGO DE LAS PARTE TITULAR: El Cedente, suscripto este Convenio, iniciará la suscripción de los Convenios Individuales, llevándose del Relevamiento del estado de Ocupación, además de designar un cuidador y de delimitar claramente las zonas incluidas en los convenios individuales. Simultáneamente dará inicio a una limpieza perimetral en bordes Norte y Este con un ancho aproximado de 15 m. y como mínimo hasta que toda esa superficie haya sido circulada al menos una vez con medios mecánicos disminuyendo así el enmalezamiento. En adelante queda comprometida a mantener desmalezado a esa franja. Una parte del borde Norte es utilizado como escombrera por la Municipalidad y por el público, y allí la parte titular se compromete a realizar un movimiento mensual de esos materiales facilitando así su accesibilidad y utilización sin cargo para la Municipalidad. El cumplimiento de esa tarea</w:t>
      </w:r>
      <w:r w:rsidR="005711B7" w:rsidRPr="002834E7">
        <w:t xml:space="preserve"> </w:t>
      </w:r>
      <w:r w:rsidR="002834E7">
        <w:t xml:space="preserve">                    (</w:t>
      </w:r>
      <w:r w:rsidRPr="002834E7">
        <w:t>Nivelación mecánica mensual y accesibilidad</w:t>
      </w:r>
      <w:r w:rsidR="002834E7">
        <w:t xml:space="preserve">) </w:t>
      </w:r>
      <w:r w:rsidR="005711B7" w:rsidRPr="002834E7">
        <w:t xml:space="preserve"> </w:t>
      </w:r>
      <w:r w:rsidRPr="002834E7">
        <w:t>en adelante libera al propietario de exigencias Municipales derivadas de esa utilización para cualquiera de las dos parcelas.</w:t>
      </w:r>
    </w:p>
    <w:p w:rsidR="005437BF" w:rsidRPr="002834E7" w:rsidRDefault="004B38A6" w:rsidP="002834E7">
      <w:pPr>
        <w:spacing w:after="200"/>
        <w:jc w:val="both"/>
      </w:pPr>
      <w:r w:rsidRPr="002834E7">
        <w:t>SÉPTIMA: RECEPCIÓN – TRANSFERENCIA – DEVOLUCIÓN DEL TERRENO: La Propietaria –después de suscriptos los Convenios Individuales- hará entrega del Plano de Relevamiento parcelando e individualizando al estado de ocupación actual en que es entregado y recibido el predio. La CESIONARIA restituirá al inmueble –como mínimo- en la misma condición en que lo recibió. Si ello sucediese y antes del vencimiento del término fijado en el Art. 3º, la CESIONARIA comunicará formalidad y fecha en que hará efectiva la devolución del inmueble.</w:t>
      </w:r>
    </w:p>
    <w:p w:rsidR="00393C31" w:rsidRPr="002834E7" w:rsidRDefault="004B38A6" w:rsidP="002834E7">
      <w:pPr>
        <w:spacing w:after="200"/>
        <w:jc w:val="both"/>
      </w:pPr>
      <w:r w:rsidRPr="002834E7">
        <w:t>OCTAVA: DOMICILIO ESPECIAL – TRIBUNALES – SELLOS: Las partes a todos los efectos derivados de este Convenio constituyen domicilio especial en los arriba indicados y por cualquier controversia o diferendo se someten a los Tribunales Ordinarios de la Ciudad de San Miguel de Tucumán, con renuncia expresa a cualquier otro fuero o jurisdicción. El sellado que corresponda a este instrumento será abonado en partes iguales.</w:t>
      </w:r>
    </w:p>
    <w:p w:rsidR="005437BF" w:rsidRPr="002834E7" w:rsidRDefault="004B38A6" w:rsidP="002834E7">
      <w:pPr>
        <w:spacing w:after="200"/>
        <w:jc w:val="both"/>
      </w:pPr>
      <w:r w:rsidRPr="002834E7">
        <w:t>En la ciudad de Yerba Buena, a los Veintiocho días del mes e Octubre del año Dos mil tres, se firman dos ejemplares a solo tenor y efecto.</w:t>
      </w:r>
      <w:r w:rsidR="002834E7" w:rsidRPr="002834E7">
        <w:t xml:space="preserve"> </w:t>
      </w:r>
    </w:p>
    <w:sectPr w:rsidR="005437BF" w:rsidRPr="002834E7" w:rsidSect="002834E7">
      <w:headerReference w:type="first" r:id="rId7"/>
      <w:pgSz w:w="11907" w:h="16840" w:code="9"/>
      <w:pgMar w:top="1417" w:right="1701" w:bottom="1417"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437BF" w:rsidRDefault="004B38A6">
      <w:r>
        <w:separator/>
      </w:r>
    </w:p>
  </w:endnote>
  <w:endnote w:type="continuationSeparator" w:id="1">
    <w:p w:rsidR="005437BF" w:rsidRDefault="004B38A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pperplate Gothic Light">
    <w:panose1 w:val="020E05070202060204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437BF" w:rsidRDefault="004B38A6">
      <w:r>
        <w:separator/>
      </w:r>
    </w:p>
  </w:footnote>
  <w:footnote w:type="continuationSeparator" w:id="1">
    <w:p w:rsidR="005437BF" w:rsidRDefault="004B38A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37BF" w:rsidRDefault="005437BF">
    <w:pPr>
      <w:pStyle w:val="Encabezado"/>
      <w:jc w:val="center"/>
      <w:rPr>
        <w:rFonts w:ascii="Copperplate Gothic Light" w:hAnsi="Copperplate Gothic Light"/>
        <w:spacing w:val="102"/>
        <w:sz w:val="20"/>
      </w:rPr>
    </w:pPr>
  </w:p>
  <w:p w:rsidR="005437BF" w:rsidRDefault="004B38A6">
    <w:pPr>
      <w:pStyle w:val="Encabezado"/>
      <w:jc w:val="center"/>
      <w:rPr>
        <w:rFonts w:ascii="Copperplate Gothic Light" w:hAnsi="Copperplate Gothic Light"/>
        <w:b/>
        <w:bCs/>
        <w:color w:val="808080"/>
        <w:spacing w:val="110"/>
        <w:sz w:val="18"/>
      </w:rPr>
    </w:pPr>
    <w:r>
      <w:rPr>
        <w:rFonts w:ascii="Copperplate Gothic Light" w:hAnsi="Copperplate Gothic Light"/>
        <w:b/>
        <w:bCs/>
        <w:color w:val="808080"/>
        <w:spacing w:val="110"/>
        <w:sz w:val="18"/>
      </w:rPr>
      <w:t>Honorable Concejo Deliberante</w:t>
    </w:r>
  </w:p>
  <w:p w:rsidR="005437BF" w:rsidRDefault="004B38A6">
    <w:pPr>
      <w:pStyle w:val="Encabezado"/>
      <w:jc w:val="center"/>
      <w:rPr>
        <w:rFonts w:ascii="Arial Narrow" w:hAnsi="Arial Narrow"/>
      </w:rPr>
    </w:pPr>
    <w:r>
      <w:rPr>
        <w:rFonts w:ascii="Arial Narrow" w:hAnsi="Arial Narrow"/>
        <w:b/>
        <w:bCs/>
        <w:color w:val="808080"/>
        <w:sz w:val="18"/>
      </w:rPr>
      <w:t>Municipalidad de Yerba Buena</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8626CF"/>
    <w:multiLevelType w:val="hybridMultilevel"/>
    <w:tmpl w:val="8DD6C29E"/>
    <w:lvl w:ilvl="0" w:tplc="A8986BFE">
      <w:numFmt w:val="bullet"/>
      <w:lvlText w:val="-"/>
      <w:lvlJc w:val="left"/>
      <w:pPr>
        <w:tabs>
          <w:tab w:val="num" w:pos="2340"/>
        </w:tabs>
        <w:ind w:left="2340" w:hanging="930"/>
      </w:pPr>
      <w:rPr>
        <w:rFonts w:ascii="Times New Roman" w:eastAsia="Times New Roman" w:hAnsi="Times New Roman" w:cs="Times New Roman" w:hint="default"/>
      </w:rPr>
    </w:lvl>
    <w:lvl w:ilvl="1" w:tplc="0C0A0003">
      <w:start w:val="1"/>
      <w:numFmt w:val="bullet"/>
      <w:lvlText w:val="o"/>
      <w:lvlJc w:val="left"/>
      <w:pPr>
        <w:tabs>
          <w:tab w:val="num" w:pos="2490"/>
        </w:tabs>
        <w:ind w:left="2490" w:hanging="360"/>
      </w:pPr>
      <w:rPr>
        <w:rFonts w:ascii="Courier New" w:hAnsi="Courier New" w:hint="default"/>
      </w:rPr>
    </w:lvl>
    <w:lvl w:ilvl="2" w:tplc="0C0A0005" w:tentative="1">
      <w:start w:val="1"/>
      <w:numFmt w:val="bullet"/>
      <w:lvlText w:val=""/>
      <w:lvlJc w:val="left"/>
      <w:pPr>
        <w:tabs>
          <w:tab w:val="num" w:pos="3210"/>
        </w:tabs>
        <w:ind w:left="3210" w:hanging="360"/>
      </w:pPr>
      <w:rPr>
        <w:rFonts w:ascii="Wingdings" w:hAnsi="Wingdings" w:hint="default"/>
      </w:rPr>
    </w:lvl>
    <w:lvl w:ilvl="3" w:tplc="0C0A0001" w:tentative="1">
      <w:start w:val="1"/>
      <w:numFmt w:val="bullet"/>
      <w:lvlText w:val=""/>
      <w:lvlJc w:val="left"/>
      <w:pPr>
        <w:tabs>
          <w:tab w:val="num" w:pos="3930"/>
        </w:tabs>
        <w:ind w:left="3930" w:hanging="360"/>
      </w:pPr>
      <w:rPr>
        <w:rFonts w:ascii="Symbol" w:hAnsi="Symbol" w:hint="default"/>
      </w:rPr>
    </w:lvl>
    <w:lvl w:ilvl="4" w:tplc="0C0A0003" w:tentative="1">
      <w:start w:val="1"/>
      <w:numFmt w:val="bullet"/>
      <w:lvlText w:val="o"/>
      <w:lvlJc w:val="left"/>
      <w:pPr>
        <w:tabs>
          <w:tab w:val="num" w:pos="4650"/>
        </w:tabs>
        <w:ind w:left="4650" w:hanging="360"/>
      </w:pPr>
      <w:rPr>
        <w:rFonts w:ascii="Courier New" w:hAnsi="Courier New" w:hint="default"/>
      </w:rPr>
    </w:lvl>
    <w:lvl w:ilvl="5" w:tplc="0C0A0005" w:tentative="1">
      <w:start w:val="1"/>
      <w:numFmt w:val="bullet"/>
      <w:lvlText w:val=""/>
      <w:lvlJc w:val="left"/>
      <w:pPr>
        <w:tabs>
          <w:tab w:val="num" w:pos="5370"/>
        </w:tabs>
        <w:ind w:left="5370" w:hanging="360"/>
      </w:pPr>
      <w:rPr>
        <w:rFonts w:ascii="Wingdings" w:hAnsi="Wingdings" w:hint="default"/>
      </w:rPr>
    </w:lvl>
    <w:lvl w:ilvl="6" w:tplc="0C0A0001" w:tentative="1">
      <w:start w:val="1"/>
      <w:numFmt w:val="bullet"/>
      <w:lvlText w:val=""/>
      <w:lvlJc w:val="left"/>
      <w:pPr>
        <w:tabs>
          <w:tab w:val="num" w:pos="6090"/>
        </w:tabs>
        <w:ind w:left="6090" w:hanging="360"/>
      </w:pPr>
      <w:rPr>
        <w:rFonts w:ascii="Symbol" w:hAnsi="Symbol" w:hint="default"/>
      </w:rPr>
    </w:lvl>
    <w:lvl w:ilvl="7" w:tplc="0C0A0003" w:tentative="1">
      <w:start w:val="1"/>
      <w:numFmt w:val="bullet"/>
      <w:lvlText w:val="o"/>
      <w:lvlJc w:val="left"/>
      <w:pPr>
        <w:tabs>
          <w:tab w:val="num" w:pos="6810"/>
        </w:tabs>
        <w:ind w:left="6810" w:hanging="360"/>
      </w:pPr>
      <w:rPr>
        <w:rFonts w:ascii="Courier New" w:hAnsi="Courier New" w:hint="default"/>
      </w:rPr>
    </w:lvl>
    <w:lvl w:ilvl="8" w:tplc="0C0A0005" w:tentative="1">
      <w:start w:val="1"/>
      <w:numFmt w:val="bullet"/>
      <w:lvlText w:val=""/>
      <w:lvlJc w:val="left"/>
      <w:pPr>
        <w:tabs>
          <w:tab w:val="num" w:pos="7530"/>
        </w:tabs>
        <w:ind w:left="7530" w:hanging="360"/>
      </w:pPr>
      <w:rPr>
        <w:rFonts w:ascii="Wingdings" w:hAnsi="Wingdings" w:hint="default"/>
      </w:rPr>
    </w:lvl>
  </w:abstractNum>
  <w:abstractNum w:abstractNumId="1">
    <w:nsid w:val="21F73736"/>
    <w:multiLevelType w:val="hybridMultilevel"/>
    <w:tmpl w:val="E1807E26"/>
    <w:lvl w:ilvl="0" w:tplc="BFD4B07A">
      <w:numFmt w:val="bullet"/>
      <w:lvlText w:val="-"/>
      <w:lvlJc w:val="left"/>
      <w:pPr>
        <w:tabs>
          <w:tab w:val="num" w:pos="1080"/>
        </w:tabs>
        <w:ind w:left="1080" w:hanging="360"/>
      </w:pPr>
      <w:rPr>
        <w:rFonts w:ascii="Times New Roman" w:eastAsia="Times New Roman" w:hAnsi="Times New Roman" w:cs="Times New Roman" w:hint="default"/>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2">
    <w:nsid w:val="22792591"/>
    <w:multiLevelType w:val="hybridMultilevel"/>
    <w:tmpl w:val="AE3CC72A"/>
    <w:lvl w:ilvl="0" w:tplc="0C0A0005">
      <w:start w:val="1"/>
      <w:numFmt w:val="bullet"/>
      <w:lvlText w:val=""/>
      <w:lvlJc w:val="left"/>
      <w:pPr>
        <w:tabs>
          <w:tab w:val="num" w:pos="2880"/>
        </w:tabs>
        <w:ind w:left="2880" w:hanging="360"/>
      </w:pPr>
      <w:rPr>
        <w:rFonts w:ascii="Wingdings" w:hAnsi="Wingdings" w:hint="default"/>
      </w:rPr>
    </w:lvl>
    <w:lvl w:ilvl="1" w:tplc="0C0A0003" w:tentative="1">
      <w:start w:val="1"/>
      <w:numFmt w:val="bullet"/>
      <w:lvlText w:val="o"/>
      <w:lvlJc w:val="left"/>
      <w:pPr>
        <w:tabs>
          <w:tab w:val="num" w:pos="3600"/>
        </w:tabs>
        <w:ind w:left="3600" w:hanging="360"/>
      </w:pPr>
      <w:rPr>
        <w:rFonts w:ascii="Courier New" w:hAnsi="Courier New" w:hint="default"/>
      </w:rPr>
    </w:lvl>
    <w:lvl w:ilvl="2" w:tplc="0C0A0005" w:tentative="1">
      <w:start w:val="1"/>
      <w:numFmt w:val="bullet"/>
      <w:lvlText w:val=""/>
      <w:lvlJc w:val="left"/>
      <w:pPr>
        <w:tabs>
          <w:tab w:val="num" w:pos="4320"/>
        </w:tabs>
        <w:ind w:left="4320" w:hanging="360"/>
      </w:pPr>
      <w:rPr>
        <w:rFonts w:ascii="Wingdings" w:hAnsi="Wingdings" w:hint="default"/>
      </w:rPr>
    </w:lvl>
    <w:lvl w:ilvl="3" w:tplc="0C0A0001" w:tentative="1">
      <w:start w:val="1"/>
      <w:numFmt w:val="bullet"/>
      <w:lvlText w:val=""/>
      <w:lvlJc w:val="left"/>
      <w:pPr>
        <w:tabs>
          <w:tab w:val="num" w:pos="5040"/>
        </w:tabs>
        <w:ind w:left="5040" w:hanging="360"/>
      </w:pPr>
      <w:rPr>
        <w:rFonts w:ascii="Symbol" w:hAnsi="Symbol" w:hint="default"/>
      </w:rPr>
    </w:lvl>
    <w:lvl w:ilvl="4" w:tplc="0C0A0003" w:tentative="1">
      <w:start w:val="1"/>
      <w:numFmt w:val="bullet"/>
      <w:lvlText w:val="o"/>
      <w:lvlJc w:val="left"/>
      <w:pPr>
        <w:tabs>
          <w:tab w:val="num" w:pos="5760"/>
        </w:tabs>
        <w:ind w:left="5760" w:hanging="360"/>
      </w:pPr>
      <w:rPr>
        <w:rFonts w:ascii="Courier New" w:hAnsi="Courier New" w:hint="default"/>
      </w:rPr>
    </w:lvl>
    <w:lvl w:ilvl="5" w:tplc="0C0A0005" w:tentative="1">
      <w:start w:val="1"/>
      <w:numFmt w:val="bullet"/>
      <w:lvlText w:val=""/>
      <w:lvlJc w:val="left"/>
      <w:pPr>
        <w:tabs>
          <w:tab w:val="num" w:pos="6480"/>
        </w:tabs>
        <w:ind w:left="6480" w:hanging="360"/>
      </w:pPr>
      <w:rPr>
        <w:rFonts w:ascii="Wingdings" w:hAnsi="Wingdings" w:hint="default"/>
      </w:rPr>
    </w:lvl>
    <w:lvl w:ilvl="6" w:tplc="0C0A0001" w:tentative="1">
      <w:start w:val="1"/>
      <w:numFmt w:val="bullet"/>
      <w:lvlText w:val=""/>
      <w:lvlJc w:val="left"/>
      <w:pPr>
        <w:tabs>
          <w:tab w:val="num" w:pos="7200"/>
        </w:tabs>
        <w:ind w:left="7200" w:hanging="360"/>
      </w:pPr>
      <w:rPr>
        <w:rFonts w:ascii="Symbol" w:hAnsi="Symbol" w:hint="default"/>
      </w:rPr>
    </w:lvl>
    <w:lvl w:ilvl="7" w:tplc="0C0A0003" w:tentative="1">
      <w:start w:val="1"/>
      <w:numFmt w:val="bullet"/>
      <w:lvlText w:val="o"/>
      <w:lvlJc w:val="left"/>
      <w:pPr>
        <w:tabs>
          <w:tab w:val="num" w:pos="7920"/>
        </w:tabs>
        <w:ind w:left="7920" w:hanging="360"/>
      </w:pPr>
      <w:rPr>
        <w:rFonts w:ascii="Courier New" w:hAnsi="Courier New" w:hint="default"/>
      </w:rPr>
    </w:lvl>
    <w:lvl w:ilvl="8" w:tplc="0C0A0005" w:tentative="1">
      <w:start w:val="1"/>
      <w:numFmt w:val="bullet"/>
      <w:lvlText w:val=""/>
      <w:lvlJc w:val="left"/>
      <w:pPr>
        <w:tabs>
          <w:tab w:val="num" w:pos="8640"/>
        </w:tabs>
        <w:ind w:left="8640" w:hanging="360"/>
      </w:pPr>
      <w:rPr>
        <w:rFonts w:ascii="Wingdings" w:hAnsi="Wingdings" w:hint="default"/>
      </w:rPr>
    </w:lvl>
  </w:abstractNum>
  <w:abstractNum w:abstractNumId="3">
    <w:nsid w:val="4EEF5A9A"/>
    <w:multiLevelType w:val="hybridMultilevel"/>
    <w:tmpl w:val="6DA26B5C"/>
    <w:lvl w:ilvl="0" w:tplc="435ED51E">
      <w:start w:val="1"/>
      <w:numFmt w:val="lowerLetter"/>
      <w:lvlText w:val="%1)"/>
      <w:lvlJc w:val="left"/>
      <w:pPr>
        <w:tabs>
          <w:tab w:val="num" w:pos="1776"/>
        </w:tabs>
        <w:ind w:left="1776" w:hanging="360"/>
      </w:pPr>
      <w:rPr>
        <w:rFonts w:hint="default"/>
      </w:rPr>
    </w:lvl>
    <w:lvl w:ilvl="1" w:tplc="0C0A0019" w:tentative="1">
      <w:start w:val="1"/>
      <w:numFmt w:val="lowerLetter"/>
      <w:lvlText w:val="%2."/>
      <w:lvlJc w:val="left"/>
      <w:pPr>
        <w:tabs>
          <w:tab w:val="num" w:pos="2496"/>
        </w:tabs>
        <w:ind w:left="2496" w:hanging="360"/>
      </w:pPr>
    </w:lvl>
    <w:lvl w:ilvl="2" w:tplc="0C0A001B" w:tentative="1">
      <w:start w:val="1"/>
      <w:numFmt w:val="lowerRoman"/>
      <w:lvlText w:val="%3."/>
      <w:lvlJc w:val="right"/>
      <w:pPr>
        <w:tabs>
          <w:tab w:val="num" w:pos="3216"/>
        </w:tabs>
        <w:ind w:left="3216" w:hanging="180"/>
      </w:pPr>
    </w:lvl>
    <w:lvl w:ilvl="3" w:tplc="0C0A000F" w:tentative="1">
      <w:start w:val="1"/>
      <w:numFmt w:val="decimal"/>
      <w:lvlText w:val="%4."/>
      <w:lvlJc w:val="left"/>
      <w:pPr>
        <w:tabs>
          <w:tab w:val="num" w:pos="3936"/>
        </w:tabs>
        <w:ind w:left="3936" w:hanging="360"/>
      </w:pPr>
    </w:lvl>
    <w:lvl w:ilvl="4" w:tplc="0C0A0019" w:tentative="1">
      <w:start w:val="1"/>
      <w:numFmt w:val="lowerLetter"/>
      <w:lvlText w:val="%5."/>
      <w:lvlJc w:val="left"/>
      <w:pPr>
        <w:tabs>
          <w:tab w:val="num" w:pos="4656"/>
        </w:tabs>
        <w:ind w:left="4656" w:hanging="360"/>
      </w:pPr>
    </w:lvl>
    <w:lvl w:ilvl="5" w:tplc="0C0A001B" w:tentative="1">
      <w:start w:val="1"/>
      <w:numFmt w:val="lowerRoman"/>
      <w:lvlText w:val="%6."/>
      <w:lvlJc w:val="right"/>
      <w:pPr>
        <w:tabs>
          <w:tab w:val="num" w:pos="5376"/>
        </w:tabs>
        <w:ind w:left="5376" w:hanging="180"/>
      </w:pPr>
    </w:lvl>
    <w:lvl w:ilvl="6" w:tplc="0C0A000F" w:tentative="1">
      <w:start w:val="1"/>
      <w:numFmt w:val="decimal"/>
      <w:lvlText w:val="%7."/>
      <w:lvlJc w:val="left"/>
      <w:pPr>
        <w:tabs>
          <w:tab w:val="num" w:pos="6096"/>
        </w:tabs>
        <w:ind w:left="6096" w:hanging="360"/>
      </w:pPr>
    </w:lvl>
    <w:lvl w:ilvl="7" w:tplc="0C0A0019" w:tentative="1">
      <w:start w:val="1"/>
      <w:numFmt w:val="lowerLetter"/>
      <w:lvlText w:val="%8."/>
      <w:lvlJc w:val="left"/>
      <w:pPr>
        <w:tabs>
          <w:tab w:val="num" w:pos="6816"/>
        </w:tabs>
        <w:ind w:left="6816" w:hanging="360"/>
      </w:pPr>
    </w:lvl>
    <w:lvl w:ilvl="8" w:tplc="0C0A001B" w:tentative="1">
      <w:start w:val="1"/>
      <w:numFmt w:val="lowerRoman"/>
      <w:lvlText w:val="%9."/>
      <w:lvlJc w:val="right"/>
      <w:pPr>
        <w:tabs>
          <w:tab w:val="num" w:pos="7536"/>
        </w:tabs>
        <w:ind w:left="7536" w:hanging="180"/>
      </w:pPr>
    </w:lvl>
  </w:abstractNum>
  <w:abstractNum w:abstractNumId="4">
    <w:nsid w:val="74B50F77"/>
    <w:multiLevelType w:val="hybridMultilevel"/>
    <w:tmpl w:val="E84C28E2"/>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23553"/>
  </w:hdrShapeDefaults>
  <w:footnotePr>
    <w:footnote w:id="0"/>
    <w:footnote w:id="1"/>
  </w:footnotePr>
  <w:endnotePr>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4B38A6"/>
    <w:rsid w:val="00230CA5"/>
    <w:rsid w:val="002834E7"/>
    <w:rsid w:val="00393C31"/>
    <w:rsid w:val="003C0BAB"/>
    <w:rsid w:val="00475E13"/>
    <w:rsid w:val="004B38A6"/>
    <w:rsid w:val="004D51DA"/>
    <w:rsid w:val="005437BF"/>
    <w:rsid w:val="005711B7"/>
    <w:rsid w:val="006B3B71"/>
    <w:rsid w:val="006B65B2"/>
    <w:rsid w:val="008707FF"/>
    <w:rsid w:val="00872FED"/>
    <w:rsid w:val="008B0905"/>
    <w:rsid w:val="0093672E"/>
    <w:rsid w:val="00A040FA"/>
    <w:rsid w:val="00AB1EFD"/>
    <w:rsid w:val="00C77F0E"/>
    <w:rsid w:val="00F3745F"/>
    <w:rsid w:val="00F9072B"/>
    <w:rsid w:val="00F97517"/>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553"/>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37BF"/>
    <w:rPr>
      <w:sz w:val="24"/>
      <w:szCs w:val="24"/>
      <w:lang w:eastAsia="es-ES"/>
    </w:rPr>
  </w:style>
  <w:style w:type="paragraph" w:styleId="Ttulo1">
    <w:name w:val="heading 1"/>
    <w:basedOn w:val="Normal"/>
    <w:next w:val="Normal"/>
    <w:qFormat/>
    <w:rsid w:val="005437BF"/>
    <w:pPr>
      <w:keepNext/>
      <w:spacing w:line="360" w:lineRule="auto"/>
      <w:ind w:firstLine="1800"/>
      <w:jc w:val="both"/>
      <w:outlineLvl w:val="0"/>
    </w:pPr>
    <w:rPr>
      <w:rFonts w:ascii="Trebuchet MS" w:hAnsi="Trebuchet MS" w:cs="Arial Unicode MS"/>
      <w:b/>
      <w:bCs/>
      <w:sz w:val="22"/>
    </w:rPr>
  </w:style>
  <w:style w:type="paragraph" w:styleId="Ttulo2">
    <w:name w:val="heading 2"/>
    <w:basedOn w:val="Normal"/>
    <w:next w:val="Normal"/>
    <w:qFormat/>
    <w:rsid w:val="005437BF"/>
    <w:pPr>
      <w:keepNext/>
      <w:spacing w:line="360" w:lineRule="auto"/>
      <w:jc w:val="center"/>
      <w:outlineLvl w:val="1"/>
    </w:pPr>
    <w:rPr>
      <w:rFonts w:ascii="Trebuchet MS" w:hAnsi="Trebuchet MS" w:cs="Arial Unicode MS"/>
      <w:i/>
      <w:iCs/>
      <w:sz w:val="22"/>
    </w:rPr>
  </w:style>
  <w:style w:type="paragraph" w:styleId="Ttulo3">
    <w:name w:val="heading 3"/>
    <w:basedOn w:val="Normal"/>
    <w:next w:val="Normal"/>
    <w:qFormat/>
    <w:rsid w:val="005437BF"/>
    <w:pPr>
      <w:keepNext/>
      <w:spacing w:line="360" w:lineRule="auto"/>
      <w:jc w:val="center"/>
      <w:outlineLvl w:val="2"/>
    </w:pPr>
    <w:rPr>
      <w:rFonts w:ascii="Trebuchet MS" w:hAnsi="Trebuchet MS" w:cs="Arial Unicode MS"/>
      <w:b/>
      <w:bCs/>
      <w:i/>
      <w:iCs/>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semiHidden/>
    <w:rsid w:val="005437BF"/>
    <w:pPr>
      <w:tabs>
        <w:tab w:val="center" w:pos="4419"/>
        <w:tab w:val="right" w:pos="8838"/>
      </w:tabs>
    </w:pPr>
  </w:style>
  <w:style w:type="paragraph" w:styleId="Piedepgina">
    <w:name w:val="footer"/>
    <w:basedOn w:val="Normal"/>
    <w:semiHidden/>
    <w:rsid w:val="005437BF"/>
    <w:pPr>
      <w:tabs>
        <w:tab w:val="center" w:pos="4419"/>
        <w:tab w:val="right" w:pos="8838"/>
      </w:tabs>
    </w:pPr>
  </w:style>
  <w:style w:type="paragraph" w:styleId="Ttulo">
    <w:name w:val="Title"/>
    <w:basedOn w:val="Normal"/>
    <w:qFormat/>
    <w:rsid w:val="005437BF"/>
    <w:pPr>
      <w:jc w:val="center"/>
    </w:pPr>
    <w:rPr>
      <w:rFonts w:ascii="Tahoma" w:hAnsi="Tahoma" w:cs="Tahoma"/>
      <w:b/>
      <w:bCs/>
      <w:u w:val="single"/>
    </w:rPr>
  </w:style>
  <w:style w:type="paragraph" w:styleId="Subttulo">
    <w:name w:val="Subtitle"/>
    <w:basedOn w:val="Normal"/>
    <w:qFormat/>
    <w:rsid w:val="005437BF"/>
    <w:pPr>
      <w:jc w:val="center"/>
    </w:pPr>
    <w:rPr>
      <w:rFonts w:ascii="Tahoma" w:hAnsi="Tahoma" w:cs="Tahoma"/>
      <w:u w:val="single"/>
    </w:rPr>
  </w:style>
  <w:style w:type="paragraph" w:styleId="Sangradetextonormal">
    <w:name w:val="Body Text Indent"/>
    <w:basedOn w:val="Normal"/>
    <w:semiHidden/>
    <w:rsid w:val="005437BF"/>
    <w:pPr>
      <w:spacing w:before="90" w:after="90"/>
      <w:ind w:firstLine="2160"/>
      <w:jc w:val="both"/>
    </w:pPr>
    <w:rPr>
      <w:rFonts w:ascii="Book Antiqua" w:hAnsi="Book Antiqua" w:cs="Tahoma"/>
      <w:sz w:val="22"/>
    </w:rPr>
  </w:style>
  <w:style w:type="paragraph" w:styleId="Sangra2detindependiente">
    <w:name w:val="Body Text Indent 2"/>
    <w:basedOn w:val="Normal"/>
    <w:semiHidden/>
    <w:rsid w:val="005437BF"/>
    <w:pPr>
      <w:spacing w:before="90" w:after="90"/>
      <w:ind w:firstLine="2040"/>
      <w:jc w:val="both"/>
    </w:pPr>
    <w:rPr>
      <w:rFonts w:ascii="Book Antiqua" w:hAnsi="Book Antiqua" w:cs="Tahoma"/>
      <w:sz w:val="22"/>
    </w:rPr>
  </w:style>
  <w:style w:type="paragraph" w:styleId="Sangra3detindependiente">
    <w:name w:val="Body Text Indent 3"/>
    <w:basedOn w:val="Normal"/>
    <w:semiHidden/>
    <w:rsid w:val="005437BF"/>
    <w:pPr>
      <w:ind w:firstLine="1800"/>
      <w:jc w:val="both"/>
    </w:pPr>
    <w:rPr>
      <w:rFonts w:ascii="Arial Unicode MS" w:hAnsi="Arial Unicode MS" w:cs="Arial Unicode MS"/>
      <w:sz w:val="22"/>
    </w:rPr>
  </w:style>
  <w:style w:type="paragraph" w:styleId="Mapadeldocumento">
    <w:name w:val="Document Map"/>
    <w:basedOn w:val="Normal"/>
    <w:semiHidden/>
    <w:rsid w:val="005437BF"/>
    <w:pPr>
      <w:shd w:val="clear" w:color="auto" w:fill="000080"/>
    </w:pPr>
    <w:rPr>
      <w:rFonts w:ascii="Tahoma" w:hAnsi="Tahoma" w:cs="Tahoma"/>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2513</Words>
  <Characters>13824</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Expediente: 191-Y-04</vt:lpstr>
    </vt:vector>
  </TitlesOfParts>
  <Company/>
  <LinksUpToDate>false</LinksUpToDate>
  <CharactersWithSpaces>16305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Expediente: 191-Y-04</dc:title>
  <dc:subject/>
  <dc:creator>Manzano Nancy Mabel</dc:creator>
  <cp:keywords/>
  <dc:description/>
  <cp:lastModifiedBy>usuario</cp:lastModifiedBy>
  <cp:revision>12</cp:revision>
  <cp:lastPrinted>2005-09-19T15:14:00Z</cp:lastPrinted>
  <dcterms:created xsi:type="dcterms:W3CDTF">2017-05-11T14:08:00Z</dcterms:created>
  <dcterms:modified xsi:type="dcterms:W3CDTF">2017-06-06T11:57:00Z</dcterms:modified>
</cp:coreProperties>
</file>