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86A" w:rsidRPr="007F486A" w:rsidRDefault="007F486A" w:rsidP="007F486A">
      <w:pPr>
        <w:keepNext/>
        <w:shd w:val="clear" w:color="auto" w:fill="FFFFFF"/>
        <w:spacing w:after="180" w:line="240" w:lineRule="auto"/>
        <w:jc w:val="right"/>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Yerba Buena, 10 de Agosto de 2000</w:t>
      </w:r>
    </w:p>
    <w:p w:rsidR="007F486A" w:rsidRPr="007F486A" w:rsidRDefault="007F486A" w:rsidP="007F486A">
      <w:pPr>
        <w:keepNext/>
        <w:shd w:val="clear" w:color="auto" w:fill="FFFFFF"/>
        <w:spacing w:before="480" w:after="180" w:line="240" w:lineRule="auto"/>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ORDENANZA Nº 1100</w:t>
      </w:r>
    </w:p>
    <w:p w:rsidR="007F486A" w:rsidRPr="007F486A" w:rsidRDefault="007F486A" w:rsidP="007F486A">
      <w:pPr>
        <w:keepNext/>
        <w:shd w:val="clear" w:color="auto" w:fill="FFFFFF"/>
        <w:spacing w:before="240" w:after="60" w:line="240" w:lineRule="auto"/>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VISTO:</w:t>
      </w:r>
    </w:p>
    <w:p w:rsidR="00054618" w:rsidRPr="007F486A" w:rsidRDefault="007F486A" w:rsidP="007F486A">
      <w:pPr>
        <w:keepNext/>
        <w:shd w:val="clear" w:color="auto" w:fill="FFFFFF"/>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lang w:eastAsia="es-AR"/>
        </w:rPr>
        <w:t xml:space="preserve"> </w:t>
      </w:r>
      <w:r w:rsidR="00A66B4D" w:rsidRPr="007F486A">
        <w:rPr>
          <w:rFonts w:ascii="Book Antiqua" w:eastAsia="Times New Roman" w:hAnsi="Book Antiqua" w:cs="Times New Roman"/>
          <w:sz w:val="24"/>
          <w:szCs w:val="24"/>
          <w:lang w:eastAsia="es-AR"/>
        </w:rPr>
        <w:t xml:space="preserve">La vigencia del trámite </w:t>
      </w:r>
      <w:r>
        <w:rPr>
          <w:rFonts w:ascii="Book Antiqua" w:eastAsia="Times New Roman" w:hAnsi="Book Antiqua" w:cs="Times New Roman"/>
          <w:sz w:val="24"/>
          <w:szCs w:val="24"/>
          <w:lang w:eastAsia="es-AR"/>
        </w:rPr>
        <w:t>previsto</w:t>
      </w:r>
      <w:r w:rsidR="00A66B4D" w:rsidRPr="007F486A">
        <w:rPr>
          <w:rFonts w:ascii="Book Antiqua" w:eastAsia="Times New Roman" w:hAnsi="Book Antiqua" w:cs="Times New Roman"/>
          <w:sz w:val="24"/>
          <w:szCs w:val="24"/>
          <w:lang w:eastAsia="es-AR"/>
        </w:rPr>
        <w:t xml:space="preserve"> en los artículos 37 a 39 de la Ordenanza N</w:t>
      </w:r>
      <w:r>
        <w:rPr>
          <w:rFonts w:ascii="Book Antiqua" w:eastAsia="Times New Roman" w:hAnsi="Book Antiqua" w:cs="Times New Roman"/>
          <w:sz w:val="24"/>
          <w:szCs w:val="24"/>
          <w:lang w:eastAsia="es-AR"/>
        </w:rPr>
        <w:t xml:space="preserve">º </w:t>
      </w:r>
      <w:r w:rsidR="00A66B4D" w:rsidRPr="007F486A">
        <w:rPr>
          <w:rFonts w:ascii="Book Antiqua" w:eastAsia="Times New Roman" w:hAnsi="Book Antiqua" w:cs="Times New Roman"/>
          <w:sz w:val="24"/>
          <w:szCs w:val="24"/>
          <w:lang w:eastAsia="es-AR"/>
        </w:rPr>
        <w:t>430/91 para la determinación de la obligación tributaria</w:t>
      </w:r>
      <w:r>
        <w:rPr>
          <w:rFonts w:ascii="Book Antiqua" w:eastAsia="Times New Roman" w:hAnsi="Book Antiqua" w:cs="Times New Roman"/>
          <w:sz w:val="24"/>
          <w:szCs w:val="24"/>
          <w:lang w:eastAsia="es-AR"/>
        </w:rPr>
        <w:t xml:space="preserve">; </w:t>
      </w:r>
      <w:r w:rsidR="00A66B4D" w:rsidRPr="007F486A">
        <w:rPr>
          <w:rFonts w:ascii="Book Antiqua" w:eastAsia="Times New Roman" w:hAnsi="Book Antiqua" w:cs="Times New Roman"/>
          <w:sz w:val="24"/>
          <w:szCs w:val="24"/>
          <w:lang w:eastAsia="es-AR"/>
        </w:rPr>
        <w:t>y</w:t>
      </w:r>
    </w:p>
    <w:p w:rsidR="007F486A" w:rsidRPr="007F486A" w:rsidRDefault="007F486A" w:rsidP="007F486A">
      <w:pPr>
        <w:keepNext/>
        <w:shd w:val="clear" w:color="auto" w:fill="FFFFFF"/>
        <w:spacing w:before="240" w:after="60" w:line="240" w:lineRule="auto"/>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CONSIDERANDO:</w:t>
      </w:r>
    </w:p>
    <w:p w:rsidR="00917740" w:rsidRPr="007F486A" w:rsidRDefault="007F486A" w:rsidP="007F486A">
      <w:pPr>
        <w:keepNext/>
        <w:shd w:val="clear" w:color="auto" w:fill="FFFFFF"/>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lang w:eastAsia="es-AR"/>
        </w:rPr>
        <w:t xml:space="preserve"> </w:t>
      </w:r>
      <w:r w:rsidR="005155FB" w:rsidRPr="007F486A">
        <w:rPr>
          <w:rFonts w:ascii="Book Antiqua" w:eastAsia="Times New Roman" w:hAnsi="Book Antiqua" w:cs="Times New Roman"/>
          <w:sz w:val="24"/>
          <w:szCs w:val="24"/>
          <w:lang w:eastAsia="es-AR"/>
        </w:rPr>
        <w:t>Que el art</w:t>
      </w:r>
      <w:r>
        <w:rPr>
          <w:rFonts w:ascii="Book Antiqua" w:eastAsia="Times New Roman" w:hAnsi="Book Antiqua" w:cs="Times New Roman"/>
          <w:sz w:val="24"/>
          <w:szCs w:val="24"/>
          <w:lang w:eastAsia="es-AR"/>
        </w:rPr>
        <w:t xml:space="preserve">. </w:t>
      </w:r>
      <w:r w:rsidR="005155FB" w:rsidRPr="007F486A">
        <w:rPr>
          <w:rFonts w:ascii="Book Antiqua" w:eastAsia="Times New Roman" w:hAnsi="Book Antiqua" w:cs="Times New Roman"/>
          <w:sz w:val="24"/>
          <w:szCs w:val="24"/>
          <w:lang w:eastAsia="es-AR"/>
        </w:rPr>
        <w:t>34 prevé que la Autoridad de Aplicación determinará de oficio la obligación tributaria en los siguientes casos</w:t>
      </w:r>
      <w:r>
        <w:rPr>
          <w:rFonts w:ascii="Book Antiqua" w:eastAsia="Times New Roman" w:hAnsi="Book Antiqua" w:cs="Times New Roman"/>
          <w:sz w:val="24"/>
          <w:szCs w:val="24"/>
          <w:lang w:eastAsia="es-AR"/>
        </w:rPr>
        <w:t xml:space="preserve">: </w:t>
      </w:r>
      <w:r w:rsidR="005155FB" w:rsidRPr="007F486A">
        <w:rPr>
          <w:rFonts w:ascii="Book Antiqua" w:eastAsia="Times New Roman" w:hAnsi="Book Antiqua" w:cs="Times New Roman"/>
          <w:sz w:val="24"/>
          <w:szCs w:val="24"/>
          <w:lang w:eastAsia="es-AR"/>
        </w:rPr>
        <w:t>”</w:t>
      </w:r>
      <w:r w:rsidR="00FC489E" w:rsidRPr="007F486A">
        <w:rPr>
          <w:rFonts w:ascii="Book Antiqua" w:eastAsia="Times New Roman" w:hAnsi="Book Antiqua" w:cs="Times New Roman"/>
          <w:sz w:val="24"/>
          <w:szCs w:val="24"/>
          <w:lang w:eastAsia="es-AR"/>
        </w:rPr>
        <w:t>… c</w:t>
      </w:r>
      <w:r>
        <w:rPr>
          <w:rFonts w:ascii="Book Antiqua" w:eastAsia="Times New Roman" w:hAnsi="Book Antiqua" w:cs="Times New Roman"/>
          <w:sz w:val="24"/>
          <w:szCs w:val="24"/>
          <w:lang w:eastAsia="es-AR"/>
        </w:rPr>
        <w:t xml:space="preserve">) </w:t>
      </w:r>
      <w:r w:rsidR="00917740" w:rsidRPr="007F486A">
        <w:rPr>
          <w:rFonts w:ascii="Book Antiqua" w:eastAsia="Times New Roman" w:hAnsi="Book Antiqua" w:cs="Times New Roman"/>
          <w:sz w:val="24"/>
          <w:szCs w:val="24"/>
          <w:lang w:eastAsia="es-AR"/>
        </w:rPr>
        <w:t xml:space="preserve"> </w:t>
      </w:r>
      <w:r w:rsidR="00FC489E" w:rsidRPr="007F486A">
        <w:rPr>
          <w:rFonts w:ascii="Book Antiqua" w:eastAsia="Times New Roman" w:hAnsi="Book Antiqua" w:cs="Times New Roman"/>
          <w:sz w:val="24"/>
          <w:szCs w:val="24"/>
          <w:lang w:eastAsia="es-AR"/>
        </w:rPr>
        <w:t xml:space="preserve">Cuando </w:t>
      </w:r>
      <w:r w:rsidR="008776F4" w:rsidRPr="007F486A">
        <w:rPr>
          <w:rFonts w:ascii="Book Antiqua" w:eastAsia="Times New Roman" w:hAnsi="Book Antiqua" w:cs="Times New Roman"/>
          <w:sz w:val="24"/>
          <w:szCs w:val="24"/>
          <w:lang w:eastAsia="es-AR"/>
        </w:rPr>
        <w:t>este código u Ordenanza prescindan de la declaración jurada como base de la determinación”</w:t>
      </w:r>
      <w:r>
        <w:rPr>
          <w:rFonts w:ascii="Book Antiqua" w:eastAsia="Times New Roman" w:hAnsi="Book Antiqua" w:cs="Times New Roman"/>
          <w:sz w:val="24"/>
          <w:szCs w:val="24"/>
          <w:lang w:eastAsia="es-AR"/>
        </w:rPr>
        <w:t xml:space="preserve">; </w:t>
      </w:r>
    </w:p>
    <w:p w:rsidR="00917740" w:rsidRPr="007F486A" w:rsidRDefault="008776F4"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e</w:t>
      </w:r>
      <w:r w:rsidR="008063F3" w:rsidRPr="007F486A">
        <w:rPr>
          <w:rFonts w:ascii="Book Antiqua" w:eastAsia="Times New Roman" w:hAnsi="Book Antiqua" w:cs="Times New Roman"/>
          <w:sz w:val="24"/>
          <w:szCs w:val="24"/>
          <w:lang w:eastAsia="es-AR"/>
        </w:rPr>
        <w:t>l art</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36 establece que</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w:t>
      </w:r>
      <w:r w:rsidRPr="007F486A">
        <w:rPr>
          <w:rFonts w:ascii="Book Antiqua" w:eastAsia="Times New Roman" w:hAnsi="Book Antiqua" w:cs="Times New Roman"/>
          <w:sz w:val="24"/>
          <w:szCs w:val="24"/>
          <w:lang w:eastAsia="es-AR"/>
        </w:rPr>
        <w:t xml:space="preserve">La determinación de oficio se realizará </w:t>
      </w:r>
      <w:r w:rsidR="008063F3" w:rsidRPr="007F486A">
        <w:rPr>
          <w:rFonts w:ascii="Book Antiqua" w:eastAsia="Times New Roman" w:hAnsi="Book Antiqua" w:cs="Times New Roman"/>
          <w:sz w:val="24"/>
          <w:szCs w:val="24"/>
          <w:lang w:eastAsia="es-AR"/>
        </w:rPr>
        <w:t>aplicando los siguientes sistemas</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a</w:t>
      </w:r>
      <w:r w:rsidR="007F486A">
        <w:rPr>
          <w:rFonts w:ascii="Book Antiqua" w:eastAsia="Times New Roman" w:hAnsi="Book Antiqua" w:cs="Times New Roman"/>
          <w:sz w:val="24"/>
          <w:szCs w:val="24"/>
          <w:lang w:eastAsia="es-AR"/>
        </w:rPr>
        <w:t xml:space="preserve">) </w:t>
      </w:r>
      <w:r w:rsidR="00917740" w:rsidRP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sobre base cierta</w:t>
      </w:r>
      <w:r w:rsidR="007F486A">
        <w:rPr>
          <w:rFonts w:ascii="Book Antiqua" w:eastAsia="Times New Roman" w:hAnsi="Book Antiqua" w:cs="Times New Roman"/>
          <w:sz w:val="24"/>
          <w:szCs w:val="24"/>
          <w:lang w:eastAsia="es-AR"/>
        </w:rPr>
        <w:t xml:space="preserve">, </w:t>
      </w:r>
      <w:r w:rsidR="008063F3" w:rsidRPr="007F486A">
        <w:rPr>
          <w:rFonts w:ascii="Book Antiqua" w:eastAsia="Times New Roman" w:hAnsi="Book Antiqua" w:cs="Times New Roman"/>
          <w:sz w:val="24"/>
          <w:szCs w:val="24"/>
          <w:lang w:eastAsia="es-AR"/>
        </w:rPr>
        <w:t>tomando en cuenta los elementos que permitan conocer en forma directa los hechos imponibles”</w:t>
      </w:r>
      <w:r w:rsidR="007F486A">
        <w:rPr>
          <w:rFonts w:ascii="Book Antiqua" w:eastAsia="Times New Roman" w:hAnsi="Book Antiqua" w:cs="Times New Roman"/>
          <w:sz w:val="24"/>
          <w:szCs w:val="24"/>
          <w:lang w:eastAsia="es-AR"/>
        </w:rPr>
        <w:t xml:space="preserve">; </w:t>
      </w:r>
    </w:p>
    <w:p w:rsidR="00917740" w:rsidRPr="007F486A" w:rsidRDefault="008063F3"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los arts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37 a 39 prevén el procedimiento previo a la resolución que determine total p parcialmente la obligación tributaria</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sin especificar si comprende aquellas determinaciones de oficio efectuadas sobre base cierta y/o sobre base presunta</w:t>
      </w:r>
      <w:r w:rsidR="007F486A">
        <w:rPr>
          <w:rFonts w:ascii="Book Antiqua" w:eastAsia="Times New Roman" w:hAnsi="Book Antiqua" w:cs="Times New Roman"/>
          <w:sz w:val="24"/>
          <w:szCs w:val="24"/>
          <w:lang w:eastAsia="es-AR"/>
        </w:rPr>
        <w:t xml:space="preserve">. </w:t>
      </w:r>
    </w:p>
    <w:p w:rsidR="00917740" w:rsidRPr="007F486A" w:rsidRDefault="008063F3"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dadas las características especiales de las contribuciones que inciden sobre inmuebles</w:t>
      </w:r>
      <w:r w:rsidR="00917740" w:rsidRPr="007F486A">
        <w:rPr>
          <w:rFonts w:ascii="Book Antiqua" w:eastAsia="Times New Roman" w:hAnsi="Book Antiqua" w:cs="Times New Roman"/>
          <w:sz w:val="24"/>
          <w:szCs w:val="24"/>
          <w:lang w:eastAsia="es-AR"/>
        </w:rPr>
        <w:t xml:space="preserve"> </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CISI</w:t>
      </w:r>
      <w:r w:rsidR="007F486A">
        <w:rPr>
          <w:rFonts w:ascii="Book Antiqua" w:eastAsia="Times New Roman" w:hAnsi="Book Antiqua" w:cs="Times New Roman"/>
          <w:sz w:val="24"/>
          <w:szCs w:val="24"/>
          <w:lang w:eastAsia="es-AR"/>
        </w:rPr>
        <w:t xml:space="preserve">) </w:t>
      </w:r>
      <w:r w:rsidR="00917740" w:rsidRP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o contribuciones que inciden sobre cementerios en las cuales los padrones inmobiliarios tienen la valuación fiscal anual que realiza el organismo de contralor provincial que es la Dirección General de Catastro Parcelario de la Provincia</w:t>
      </w:r>
      <w:r w:rsidR="007F486A">
        <w:rPr>
          <w:rFonts w:ascii="Book Antiqua" w:eastAsia="Times New Roman" w:hAnsi="Book Antiqua" w:cs="Times New Roman"/>
          <w:sz w:val="24"/>
          <w:szCs w:val="24"/>
          <w:lang w:eastAsia="es-AR"/>
        </w:rPr>
        <w:t xml:space="preserve">. </w:t>
      </w:r>
    </w:p>
    <w:p w:rsidR="00917740" w:rsidRPr="007F486A" w:rsidRDefault="008063F3"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dichas valuaciones fiscales son de conocimiento público</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y en base a ellas se determinan las alícuotas a aplicar para la determinación de la contribución que incide sobre inmuebles o cementerios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tomando asimismo la ordenanza fiscal anual</w:t>
      </w:r>
      <w:r w:rsidR="007F486A">
        <w:rPr>
          <w:rFonts w:ascii="Book Antiqua" w:eastAsia="Times New Roman" w:hAnsi="Book Antiqua" w:cs="Times New Roman"/>
          <w:sz w:val="24"/>
          <w:szCs w:val="24"/>
          <w:lang w:eastAsia="es-AR"/>
        </w:rPr>
        <w:t xml:space="preserve">; </w:t>
      </w:r>
    </w:p>
    <w:p w:rsidR="00917740" w:rsidRPr="007F486A" w:rsidRDefault="00A66B4D"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existiendo una base cierta para estas dos contribuciones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resulta excesivo el trámite impreso en los arts</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37 a 39 de la Ordenanza N</w:t>
      </w:r>
      <w:r w:rsidR="007F486A">
        <w:rPr>
          <w:rFonts w:ascii="Book Antiqua" w:eastAsia="Times New Roman" w:hAnsi="Book Antiqua" w:cs="Times New Roman"/>
          <w:sz w:val="24"/>
          <w:szCs w:val="24"/>
          <w:lang w:eastAsia="es-AR"/>
        </w:rPr>
        <w:t xml:space="preserve">º </w:t>
      </w:r>
      <w:r w:rsidRPr="007F486A">
        <w:rPr>
          <w:rFonts w:ascii="Book Antiqua" w:eastAsia="Times New Roman" w:hAnsi="Book Antiqua" w:cs="Times New Roman"/>
          <w:sz w:val="24"/>
          <w:szCs w:val="24"/>
          <w:lang w:eastAsia="es-AR"/>
        </w:rPr>
        <w:t>430/91</w:t>
      </w:r>
      <w:r w:rsidR="007F486A">
        <w:rPr>
          <w:rFonts w:ascii="Book Antiqua" w:eastAsia="Times New Roman" w:hAnsi="Book Antiqua" w:cs="Times New Roman"/>
          <w:sz w:val="24"/>
          <w:szCs w:val="24"/>
          <w:lang w:eastAsia="es-AR"/>
        </w:rPr>
        <w:t xml:space="preserve">; </w:t>
      </w:r>
    </w:p>
    <w:p w:rsidR="00917740" w:rsidRPr="007F486A" w:rsidRDefault="00A641EF"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Que por consiguiente es menester modificar en tal sentido la ordenanza antes aludida</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por lo que es procedente emitir el instrumento legal pertinente que as</w:t>
      </w:r>
      <w:r w:rsidR="00EB754E" w:rsidRPr="007F486A">
        <w:rPr>
          <w:rFonts w:ascii="Book Antiqua" w:eastAsia="Times New Roman" w:hAnsi="Book Antiqua" w:cs="Times New Roman"/>
          <w:sz w:val="24"/>
          <w:szCs w:val="24"/>
          <w:lang w:eastAsia="es-AR"/>
        </w:rPr>
        <w:t>í lo disponga</w:t>
      </w:r>
      <w:r w:rsidR="007F486A">
        <w:rPr>
          <w:rFonts w:ascii="Book Antiqua" w:eastAsia="Times New Roman" w:hAnsi="Book Antiqua" w:cs="Times New Roman"/>
          <w:sz w:val="24"/>
          <w:szCs w:val="24"/>
          <w:lang w:eastAsia="es-AR"/>
        </w:rPr>
        <w:t xml:space="preserve">; </w:t>
      </w:r>
    </w:p>
    <w:p w:rsidR="00917740" w:rsidRPr="007F486A" w:rsidRDefault="00EB754E" w:rsidP="007F486A">
      <w:pPr>
        <w:keepNext/>
        <w:shd w:val="clear" w:color="auto" w:fill="FFFFFF"/>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t>Por ello y en uso de las facultades que le confiere el Decreto N</w:t>
      </w:r>
      <w:r w:rsidR="007F486A">
        <w:rPr>
          <w:rFonts w:ascii="Book Antiqua" w:eastAsia="Times New Roman" w:hAnsi="Book Antiqua" w:cs="Times New Roman"/>
          <w:sz w:val="24"/>
          <w:szCs w:val="24"/>
          <w:lang w:eastAsia="es-AR"/>
        </w:rPr>
        <w:t xml:space="preserve">º </w:t>
      </w:r>
      <w:r w:rsidRPr="007F486A">
        <w:rPr>
          <w:rFonts w:ascii="Book Antiqua" w:eastAsia="Times New Roman" w:hAnsi="Book Antiqua" w:cs="Times New Roman"/>
          <w:sz w:val="24"/>
          <w:szCs w:val="24"/>
          <w:lang w:eastAsia="es-AR"/>
        </w:rPr>
        <w:t>822/1 de fecha 19 de mayo de 2000</w:t>
      </w:r>
      <w:r w:rsidR="007F486A">
        <w:rPr>
          <w:rFonts w:ascii="Book Antiqua" w:eastAsia="Times New Roman" w:hAnsi="Book Antiqua" w:cs="Times New Roman"/>
          <w:sz w:val="24"/>
          <w:szCs w:val="24"/>
          <w:lang w:eastAsia="es-AR"/>
        </w:rPr>
        <w:t xml:space="preserve">, </w:t>
      </w:r>
    </w:p>
    <w:p w:rsidR="009B5526" w:rsidRPr="007F486A" w:rsidRDefault="007F486A" w:rsidP="007F486A">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7F486A">
        <w:rPr>
          <w:rFonts w:ascii="Book Antiqua" w:eastAsia="Times New Roman" w:hAnsi="Book Antiqua" w:cs="Times New Roman"/>
          <w:b/>
          <w:sz w:val="24"/>
          <w:szCs w:val="24"/>
          <w:lang w:eastAsia="es-AR"/>
        </w:rPr>
        <w:t>EL INTENDENTE MUNICIPAL SANCIONA Y PROMULGA CON FUERZA DE ORDENANZA</w:t>
      </w:r>
      <w:bookmarkStart w:id="0" w:name="_GoBack"/>
    </w:p>
    <w:bookmarkEnd w:id="0"/>
    <w:p w:rsidR="00917740" w:rsidRPr="007F486A" w:rsidRDefault="007F486A" w:rsidP="007F486A">
      <w:pPr>
        <w:keepNext/>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u w:val="single"/>
          <w:lang w:eastAsia="es-AR"/>
        </w:rPr>
        <w:t>ARTÍCULO PRIMERO:</w:t>
      </w:r>
      <w:r>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INCORPORASE</w:t>
      </w:r>
      <w:r w:rsidR="009B5526" w:rsidRPr="007F486A">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como Artículo 39 Bis de la Ordenanza N</w:t>
      </w:r>
      <w:r>
        <w:rPr>
          <w:rFonts w:ascii="Book Antiqua" w:eastAsia="Times New Roman" w:hAnsi="Book Antiqua" w:cs="Times New Roman"/>
          <w:sz w:val="24"/>
          <w:szCs w:val="24"/>
          <w:lang w:eastAsia="es-AR"/>
        </w:rPr>
        <w:t xml:space="preserve">º </w:t>
      </w:r>
      <w:r w:rsidR="00EB754E" w:rsidRPr="007F486A">
        <w:rPr>
          <w:rFonts w:ascii="Book Antiqua" w:eastAsia="Times New Roman" w:hAnsi="Book Antiqua" w:cs="Times New Roman"/>
          <w:sz w:val="24"/>
          <w:szCs w:val="24"/>
          <w:lang w:eastAsia="es-AR"/>
        </w:rPr>
        <w:t>430 de fecha 16/09/91</w:t>
      </w:r>
      <w:r>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el siguiente texto</w:t>
      </w:r>
      <w:r>
        <w:rPr>
          <w:rFonts w:ascii="Book Antiqua" w:eastAsia="Times New Roman" w:hAnsi="Book Antiqua" w:cs="Times New Roman"/>
          <w:sz w:val="24"/>
          <w:szCs w:val="24"/>
          <w:lang w:eastAsia="es-AR"/>
        </w:rPr>
        <w:t xml:space="preserve">: </w:t>
      </w:r>
      <w:r w:rsidR="00EB754E" w:rsidRPr="007F486A">
        <w:rPr>
          <w:rFonts w:ascii="Book Antiqua" w:eastAsia="Times New Roman" w:hAnsi="Book Antiqua" w:cs="Times New Roman"/>
          <w:sz w:val="24"/>
          <w:szCs w:val="24"/>
          <w:lang w:eastAsia="es-AR"/>
        </w:rPr>
        <w:t xml:space="preserve">“El procedimiento </w:t>
      </w:r>
      <w:r>
        <w:rPr>
          <w:rFonts w:ascii="Book Antiqua" w:eastAsia="Times New Roman" w:hAnsi="Book Antiqua" w:cs="Times New Roman"/>
          <w:sz w:val="24"/>
          <w:szCs w:val="24"/>
          <w:lang w:eastAsia="es-AR"/>
        </w:rPr>
        <w:t>previsto</w:t>
      </w:r>
      <w:r w:rsidR="00AD3B01" w:rsidRPr="007F486A">
        <w:rPr>
          <w:rFonts w:ascii="Book Antiqua" w:eastAsia="Times New Roman" w:hAnsi="Book Antiqua" w:cs="Times New Roman"/>
          <w:sz w:val="24"/>
          <w:szCs w:val="24"/>
          <w:lang w:eastAsia="es-AR"/>
        </w:rPr>
        <w:t xml:space="preserve"> en</w:t>
      </w:r>
      <w:r w:rsidR="00EB754E" w:rsidRPr="007F486A">
        <w:rPr>
          <w:rFonts w:ascii="Book Antiqua" w:eastAsia="Times New Roman" w:hAnsi="Book Antiqua" w:cs="Times New Roman"/>
          <w:sz w:val="24"/>
          <w:szCs w:val="24"/>
          <w:lang w:eastAsia="es-AR"/>
        </w:rPr>
        <w:t xml:space="preserve"> los artículos 37 a 39 no es aplicable para la determinación del cargo tributario de las contribuciones que inciden sobre inmuebles y de las contribuciones que inciden sobre cementerios</w:t>
      </w:r>
      <w:r>
        <w:rPr>
          <w:rFonts w:ascii="Book Antiqua" w:eastAsia="Times New Roman" w:hAnsi="Book Antiqua" w:cs="Times New Roman"/>
          <w:sz w:val="24"/>
          <w:szCs w:val="24"/>
          <w:lang w:eastAsia="es-AR"/>
        </w:rPr>
        <w:t xml:space="preserve">. </w:t>
      </w:r>
    </w:p>
    <w:p w:rsidR="00917740" w:rsidRPr="007F486A" w:rsidRDefault="00EB754E" w:rsidP="007F486A">
      <w:pPr>
        <w:keepNext/>
        <w:spacing w:after="180" w:line="240" w:lineRule="auto"/>
        <w:jc w:val="both"/>
        <w:rPr>
          <w:rFonts w:ascii="Book Antiqua" w:eastAsia="Times New Roman" w:hAnsi="Book Antiqua" w:cs="Times New Roman"/>
          <w:sz w:val="24"/>
          <w:szCs w:val="24"/>
          <w:lang w:eastAsia="es-AR"/>
        </w:rPr>
      </w:pPr>
      <w:r w:rsidRPr="007F486A">
        <w:rPr>
          <w:rFonts w:ascii="Book Antiqua" w:eastAsia="Times New Roman" w:hAnsi="Book Antiqua" w:cs="Times New Roman"/>
          <w:sz w:val="24"/>
          <w:szCs w:val="24"/>
          <w:lang w:eastAsia="es-AR"/>
        </w:rPr>
        <w:lastRenderedPageBreak/>
        <w:t>La determinación de oficio sobre base cierta de estas Contribuciones dará lugar a confeccionar el cargo tributario que se notificará por diez días al interesado entregándole la copia pertinente</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plazo durante el cual podrá reconocer</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negar u observar el mismo</w:t>
      </w:r>
      <w:r w:rsidR="007F486A">
        <w:rPr>
          <w:rFonts w:ascii="Book Antiqua" w:eastAsia="Times New Roman" w:hAnsi="Book Antiqua" w:cs="Times New Roman"/>
          <w:sz w:val="24"/>
          <w:szCs w:val="24"/>
          <w:lang w:eastAsia="es-AR"/>
        </w:rPr>
        <w:t xml:space="preserve">. </w:t>
      </w:r>
      <w:r w:rsidRPr="007F486A">
        <w:rPr>
          <w:rFonts w:ascii="Book Antiqua" w:eastAsia="Times New Roman" w:hAnsi="Book Antiqua" w:cs="Times New Roman"/>
          <w:sz w:val="24"/>
          <w:szCs w:val="24"/>
          <w:lang w:eastAsia="es-AR"/>
        </w:rPr>
        <w:t>Vencido el plazo otorgado</w:t>
      </w:r>
      <w:r w:rsidR="007F486A">
        <w:rPr>
          <w:rFonts w:ascii="Book Antiqua" w:eastAsia="Times New Roman" w:hAnsi="Book Antiqua" w:cs="Times New Roman"/>
          <w:sz w:val="24"/>
          <w:szCs w:val="24"/>
          <w:lang w:eastAsia="es-AR"/>
        </w:rPr>
        <w:t xml:space="preserve">, </w:t>
      </w:r>
      <w:r w:rsidR="005F5427" w:rsidRPr="007F486A">
        <w:rPr>
          <w:rFonts w:ascii="Book Antiqua" w:eastAsia="Times New Roman" w:hAnsi="Book Antiqua" w:cs="Times New Roman"/>
          <w:sz w:val="24"/>
          <w:szCs w:val="24"/>
          <w:lang w:eastAsia="es-AR"/>
        </w:rPr>
        <w:t>quedará expedita la vía para iniciar acciones legales</w:t>
      </w:r>
      <w:r w:rsidR="007F486A">
        <w:rPr>
          <w:rFonts w:ascii="Book Antiqua" w:eastAsia="Times New Roman" w:hAnsi="Book Antiqua" w:cs="Times New Roman"/>
          <w:sz w:val="24"/>
          <w:szCs w:val="24"/>
          <w:lang w:eastAsia="es-AR"/>
        </w:rPr>
        <w:t xml:space="preserve">. </w:t>
      </w:r>
    </w:p>
    <w:p w:rsidR="008213C0" w:rsidRPr="007F486A" w:rsidRDefault="007F486A" w:rsidP="007F486A">
      <w:pPr>
        <w:keepNext/>
        <w:spacing w:after="180" w:line="240" w:lineRule="auto"/>
        <w:jc w:val="both"/>
        <w:rPr>
          <w:rFonts w:ascii="Book Antiqua" w:hAnsi="Book Antiqua" w:cs="Times New Roman"/>
          <w:sz w:val="24"/>
        </w:rPr>
      </w:pPr>
      <w:r w:rsidRPr="007F486A">
        <w:rPr>
          <w:rFonts w:ascii="Book Antiqua" w:eastAsia="Times New Roman" w:hAnsi="Book Antiqua" w:cs="Times New Roman"/>
          <w:sz w:val="24"/>
          <w:szCs w:val="24"/>
          <w:u w:val="single"/>
          <w:lang w:eastAsia="es-AR"/>
        </w:rPr>
        <w:t>ARTÍCULO SEGUNDO:</w:t>
      </w:r>
      <w:r>
        <w:rPr>
          <w:rFonts w:ascii="Book Antiqua" w:eastAsia="Times New Roman" w:hAnsi="Book Antiqua" w:cs="Times New Roman"/>
          <w:sz w:val="24"/>
          <w:szCs w:val="24"/>
          <w:lang w:eastAsia="es-AR"/>
        </w:rPr>
        <w:t xml:space="preserve"> </w:t>
      </w:r>
      <w:r w:rsidR="008213C0" w:rsidRPr="007F486A">
        <w:rPr>
          <w:rFonts w:ascii="Book Antiqua" w:eastAsia="Times New Roman" w:hAnsi="Book Antiqua" w:cs="Times New Roman"/>
          <w:sz w:val="24"/>
          <w:szCs w:val="24"/>
          <w:lang w:eastAsia="es-AR"/>
        </w:rPr>
        <w:t>COMUNIQUESE</w:t>
      </w:r>
      <w:r>
        <w:rPr>
          <w:rFonts w:ascii="Book Antiqua" w:eastAsia="Times New Roman" w:hAnsi="Book Antiqua" w:cs="Times New Roman"/>
          <w:sz w:val="24"/>
          <w:szCs w:val="24"/>
          <w:lang w:eastAsia="es-AR"/>
        </w:rPr>
        <w:t xml:space="preserve">, </w:t>
      </w:r>
      <w:r w:rsidR="008213C0" w:rsidRPr="007F486A">
        <w:rPr>
          <w:rFonts w:ascii="Book Antiqua" w:eastAsia="Times New Roman" w:hAnsi="Book Antiqua" w:cs="Times New Roman"/>
          <w:sz w:val="24"/>
          <w:szCs w:val="24"/>
          <w:lang w:eastAsia="es-AR"/>
        </w:rPr>
        <w:t>COPIESE Y ARCHIVESE</w:t>
      </w:r>
      <w:r>
        <w:rPr>
          <w:rFonts w:ascii="Book Antiqua" w:eastAsia="Times New Roman" w:hAnsi="Book Antiqua" w:cs="Times New Roman"/>
          <w:sz w:val="24"/>
          <w:szCs w:val="24"/>
          <w:lang w:eastAsia="es-AR"/>
        </w:rPr>
        <w:t xml:space="preserve">. </w:t>
      </w:r>
    </w:p>
    <w:sectPr w:rsidR="008213C0" w:rsidRPr="007F486A" w:rsidSect="007F486A">
      <w:footerReference w:type="default" r:id="rId6"/>
      <w:pgSz w:w="11906" w:h="16838"/>
      <w:pgMar w:top="1417" w:right="1134" w:bottom="1134" w:left="1701" w:header="709" w:footer="709" w:gutter="0"/>
      <w:pgNumType w:start="100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A76" w:rsidRDefault="00782A76" w:rsidP="00782A76">
      <w:pPr>
        <w:spacing w:after="0" w:line="240" w:lineRule="auto"/>
      </w:pPr>
      <w:r>
        <w:separator/>
      </w:r>
    </w:p>
  </w:endnote>
  <w:endnote w:type="continuationSeparator" w:id="0">
    <w:p w:rsidR="00782A76" w:rsidRDefault="00782A76" w:rsidP="00782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A76" w:rsidRPr="003562AA" w:rsidRDefault="00782A7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A76" w:rsidRDefault="00782A76" w:rsidP="00782A76">
      <w:pPr>
        <w:spacing w:after="0" w:line="240" w:lineRule="auto"/>
      </w:pPr>
      <w:r>
        <w:separator/>
      </w:r>
    </w:p>
  </w:footnote>
  <w:footnote w:type="continuationSeparator" w:id="0">
    <w:p w:rsidR="00782A76" w:rsidRDefault="00782A76" w:rsidP="00782A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155FB"/>
    <w:rsid w:val="000060FD"/>
    <w:rsid w:val="000158BF"/>
    <w:rsid w:val="00054618"/>
    <w:rsid w:val="00090B97"/>
    <w:rsid w:val="00095C2B"/>
    <w:rsid w:val="000A7293"/>
    <w:rsid w:val="000B5B8E"/>
    <w:rsid w:val="000B6D79"/>
    <w:rsid w:val="00114369"/>
    <w:rsid w:val="00156E45"/>
    <w:rsid w:val="0018149B"/>
    <w:rsid w:val="001B4487"/>
    <w:rsid w:val="001E04F3"/>
    <w:rsid w:val="001F1D33"/>
    <w:rsid w:val="00251D98"/>
    <w:rsid w:val="00253262"/>
    <w:rsid w:val="003203FA"/>
    <w:rsid w:val="00335277"/>
    <w:rsid w:val="003562AA"/>
    <w:rsid w:val="003752B5"/>
    <w:rsid w:val="00385CDA"/>
    <w:rsid w:val="00462CAC"/>
    <w:rsid w:val="00491CC8"/>
    <w:rsid w:val="005155FB"/>
    <w:rsid w:val="005F5427"/>
    <w:rsid w:val="00622275"/>
    <w:rsid w:val="00653A75"/>
    <w:rsid w:val="006954DD"/>
    <w:rsid w:val="006B1D29"/>
    <w:rsid w:val="006C46DF"/>
    <w:rsid w:val="006E1DF9"/>
    <w:rsid w:val="0072258E"/>
    <w:rsid w:val="0072394B"/>
    <w:rsid w:val="00782A76"/>
    <w:rsid w:val="007C5553"/>
    <w:rsid w:val="007E7792"/>
    <w:rsid w:val="007F486A"/>
    <w:rsid w:val="008063F3"/>
    <w:rsid w:val="008213C0"/>
    <w:rsid w:val="008776F4"/>
    <w:rsid w:val="00917740"/>
    <w:rsid w:val="00947637"/>
    <w:rsid w:val="00986A1D"/>
    <w:rsid w:val="009925CD"/>
    <w:rsid w:val="009B5526"/>
    <w:rsid w:val="009C09A8"/>
    <w:rsid w:val="00A0266E"/>
    <w:rsid w:val="00A0462C"/>
    <w:rsid w:val="00A641EF"/>
    <w:rsid w:val="00A66B4D"/>
    <w:rsid w:val="00A90274"/>
    <w:rsid w:val="00AD3B01"/>
    <w:rsid w:val="00AE4D30"/>
    <w:rsid w:val="00B638D3"/>
    <w:rsid w:val="00BD25E5"/>
    <w:rsid w:val="00D1744E"/>
    <w:rsid w:val="00D26339"/>
    <w:rsid w:val="00D812FB"/>
    <w:rsid w:val="00D9603B"/>
    <w:rsid w:val="00E33530"/>
    <w:rsid w:val="00E73CC1"/>
    <w:rsid w:val="00EB754E"/>
    <w:rsid w:val="00EC3D51"/>
    <w:rsid w:val="00EC7658"/>
    <w:rsid w:val="00F25608"/>
    <w:rsid w:val="00F50E15"/>
    <w:rsid w:val="00FB4DDE"/>
    <w:rsid w:val="00FC364A"/>
    <w:rsid w:val="00FC489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2F652A-1B74-48DA-9A59-D9A42D04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82A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82A76"/>
  </w:style>
  <w:style w:type="paragraph" w:styleId="Piedepgina">
    <w:name w:val="footer"/>
    <w:basedOn w:val="Normal"/>
    <w:link w:val="PiedepginaCar"/>
    <w:uiPriority w:val="99"/>
    <w:semiHidden/>
    <w:unhideWhenUsed/>
    <w:rsid w:val="00782A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82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81</TotalTime>
  <Pages>2</Pages>
  <Words>417</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31</cp:revision>
  <cp:lastPrinted>2017-10-04T15:16:00Z</cp:lastPrinted>
  <dcterms:created xsi:type="dcterms:W3CDTF">2017-02-03T14:19:00Z</dcterms:created>
  <dcterms:modified xsi:type="dcterms:W3CDTF">2018-07-06T12:57:00Z</dcterms:modified>
</cp:coreProperties>
</file>