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0ADC" w:rsidRPr="00940ADC" w:rsidRDefault="00940ADC" w:rsidP="00940ADC">
      <w:pPr>
        <w:keepNext/>
        <w:tabs>
          <w:tab w:val="left" w:pos="0"/>
        </w:tabs>
        <w:spacing w:after="240" w:line="240" w:lineRule="auto"/>
        <w:jc w:val="right"/>
        <w:rPr>
          <w:rFonts w:ascii="Times New Roman" w:hAnsi="Times New Roman" w:cs="Times New Roman"/>
          <w:sz w:val="24"/>
          <w:szCs w:val="24"/>
        </w:rPr>
      </w:pPr>
      <w:r w:rsidRPr="00940ADC">
        <w:rPr>
          <w:rFonts w:ascii="Times New Roman" w:hAnsi="Times New Roman" w:cs="Times New Roman"/>
          <w:sz w:val="24"/>
          <w:szCs w:val="24"/>
        </w:rPr>
        <w:t>Yerba Buena, 26 de Febrero de 1985</w:t>
      </w:r>
    </w:p>
    <w:p w:rsidR="00940ADC" w:rsidRPr="00940ADC" w:rsidRDefault="00940ADC" w:rsidP="00940ADC">
      <w:pPr>
        <w:keepNext/>
        <w:tabs>
          <w:tab w:val="left" w:pos="0"/>
        </w:tabs>
        <w:spacing w:before="240" w:after="360" w:line="240" w:lineRule="auto"/>
        <w:rPr>
          <w:rFonts w:ascii="Times New Roman" w:hAnsi="Times New Roman" w:cs="Times New Roman"/>
          <w:b/>
          <w:sz w:val="24"/>
          <w:szCs w:val="24"/>
        </w:rPr>
      </w:pPr>
      <w:r w:rsidRPr="00940ADC">
        <w:rPr>
          <w:rFonts w:ascii="Times New Roman" w:hAnsi="Times New Roman" w:cs="Times New Roman"/>
          <w:b/>
          <w:sz w:val="24"/>
          <w:szCs w:val="24"/>
        </w:rPr>
        <w:t>ORDENANZA Nº 129</w:t>
      </w:r>
    </w:p>
    <w:p w:rsidR="00940ADC" w:rsidRPr="00940ADC" w:rsidRDefault="00940ADC" w:rsidP="00940ADC">
      <w:pPr>
        <w:keepNext/>
        <w:tabs>
          <w:tab w:val="left" w:pos="0"/>
        </w:tabs>
        <w:spacing w:before="240" w:after="120" w:line="240" w:lineRule="auto"/>
        <w:rPr>
          <w:rFonts w:ascii="Times New Roman" w:hAnsi="Times New Roman" w:cs="Times New Roman"/>
          <w:b/>
          <w:sz w:val="24"/>
          <w:szCs w:val="24"/>
        </w:rPr>
      </w:pPr>
      <w:r w:rsidRPr="00940ADC">
        <w:rPr>
          <w:rFonts w:ascii="Times New Roman" w:hAnsi="Times New Roman" w:cs="Times New Roman"/>
          <w:b/>
          <w:sz w:val="24"/>
          <w:szCs w:val="24"/>
        </w:rPr>
        <w:t xml:space="preserve">VISTO: </w:t>
      </w:r>
    </w:p>
    <w:p w:rsidR="00284B38" w:rsidRPr="00940ADC" w:rsidRDefault="00940ADC" w:rsidP="00940ADC">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5E508E" w:rsidRPr="00940ADC">
        <w:rPr>
          <w:rFonts w:ascii="Times New Roman" w:hAnsi="Times New Roman" w:cs="Times New Roman"/>
          <w:sz w:val="24"/>
          <w:szCs w:val="24"/>
        </w:rPr>
        <w:t>Que nuestro Municipio no se encuentra reglamentado para realizar obras de servicios públicos con colaboración vecinal y la participación directa de los Centros Vecinales, consorcios o grupos de vecinos ejerciendo el contralor de las obras; y</w:t>
      </w:r>
    </w:p>
    <w:p w:rsidR="00940ADC" w:rsidRPr="00940ADC" w:rsidRDefault="00940ADC" w:rsidP="00940ADC">
      <w:pPr>
        <w:keepNext/>
        <w:spacing w:before="240" w:after="120" w:line="240" w:lineRule="auto"/>
        <w:rPr>
          <w:rFonts w:ascii="Times New Roman" w:hAnsi="Times New Roman" w:cs="Times New Roman"/>
          <w:b/>
          <w:sz w:val="24"/>
          <w:szCs w:val="24"/>
        </w:rPr>
      </w:pPr>
      <w:r w:rsidRPr="00940ADC">
        <w:rPr>
          <w:rFonts w:ascii="Times New Roman" w:hAnsi="Times New Roman" w:cs="Times New Roman"/>
          <w:b/>
          <w:sz w:val="24"/>
          <w:szCs w:val="24"/>
        </w:rPr>
        <w:t xml:space="preserve">CONSIDERANDO: </w:t>
      </w:r>
    </w:p>
    <w:p w:rsidR="003D6E1C" w:rsidRPr="00940ADC" w:rsidRDefault="00940ADC" w:rsidP="00940ADC">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084E24" w:rsidRPr="00940ADC">
        <w:rPr>
          <w:rFonts w:ascii="Times New Roman" w:hAnsi="Times New Roman" w:cs="Times New Roman"/>
          <w:sz w:val="24"/>
          <w:szCs w:val="24"/>
        </w:rPr>
        <w:t xml:space="preserve">Que el </w:t>
      </w:r>
      <w:r w:rsidR="005E508E" w:rsidRPr="00940ADC">
        <w:rPr>
          <w:rFonts w:ascii="Times New Roman" w:hAnsi="Times New Roman" w:cs="Times New Roman"/>
          <w:sz w:val="24"/>
          <w:szCs w:val="24"/>
        </w:rPr>
        <w:t xml:space="preserve">Financiero-Económico de nuestro Municipio, para encarar las obras necesarias pretendidas por nuestra comunidad, consideramos que el único medio idóneo, es encarar los trabajos por colaboración vecinal; de esta forma lograremos mejorar y obtener mas Servicios Públicos y brindarle las comodidades y seguridad de un hábitat mas o menos adecuado a sus características, porque una Ciudad como Yerba Buena, que tiene un crecimiento habitacional muy importante, no cuenta todavía con un servicio de gas natural, de colectores cloacales, de alumbrado eficiente, de vías de circulación adecuadas </w:t>
      </w:r>
      <w:r w:rsidR="00A63081" w:rsidRPr="00940ADC">
        <w:rPr>
          <w:rFonts w:ascii="Times New Roman" w:hAnsi="Times New Roman" w:cs="Times New Roman"/>
          <w:sz w:val="24"/>
          <w:szCs w:val="24"/>
        </w:rPr>
        <w:t xml:space="preserve">ni de transportes de pasajeros con un buen servicio. Es decir estamos creciendo en forma desorganizada, donde cada vecino busca dar soluciones a su zona o barrio sin que muchas veces se encuentre la manera de encarar la realización de obras necesarias y elementales </w:t>
      </w:r>
      <w:r w:rsidR="00ED1BF5" w:rsidRPr="00940ADC">
        <w:rPr>
          <w:rFonts w:ascii="Times New Roman" w:hAnsi="Times New Roman" w:cs="Times New Roman"/>
          <w:sz w:val="24"/>
          <w:szCs w:val="24"/>
        </w:rPr>
        <w:t>para una convivencia normal; por lo tanto se produce el consabido descontento que da como resultado no abonar las contribuciones por servicios que no existen o que son deficientes, y la Municipalidad no puede encarar obras porque no cuenta con un ingreso adecuado por parte de los contribuyentes.</w:t>
      </w:r>
    </w:p>
    <w:p w:rsidR="00ED1BF5" w:rsidRPr="00940ADC" w:rsidRDefault="00ED1BF5"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ab/>
      </w:r>
      <w:r w:rsidRPr="00940ADC">
        <w:rPr>
          <w:rFonts w:ascii="Times New Roman" w:hAnsi="Times New Roman" w:cs="Times New Roman"/>
          <w:sz w:val="24"/>
          <w:szCs w:val="24"/>
        </w:rPr>
        <w:tab/>
        <w:t>Ademas la poca participación que se obtiene del Gobierno Provincial en el Area Obras Públicas, no permite planificar o intentar realizar las obras necesarias.</w:t>
      </w:r>
    </w:p>
    <w:p w:rsidR="00284B38" w:rsidRPr="00940ADC" w:rsidRDefault="00ED1BF5"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ab/>
      </w:r>
      <w:r w:rsidRPr="00940ADC">
        <w:rPr>
          <w:rFonts w:ascii="Times New Roman" w:hAnsi="Times New Roman" w:cs="Times New Roman"/>
          <w:sz w:val="24"/>
          <w:szCs w:val="24"/>
        </w:rPr>
        <w:tab/>
        <w:t>Por lo tanto debemos convocar a todos los vecinos de los distintos sectores a trabajar en forma directa y participativa con el Departamento Ejecutivo Municipal.</w:t>
      </w:r>
    </w:p>
    <w:p w:rsidR="00284B38" w:rsidRPr="00940ADC" w:rsidRDefault="00940ADC" w:rsidP="00940ADC">
      <w:pPr>
        <w:keepNext/>
        <w:spacing w:before="360" w:after="360" w:line="240" w:lineRule="auto"/>
        <w:ind w:left="1984" w:right="1984"/>
        <w:jc w:val="center"/>
        <w:rPr>
          <w:rFonts w:ascii="Times New Roman" w:hAnsi="Times New Roman" w:cs="Times New Roman"/>
          <w:b/>
          <w:sz w:val="24"/>
          <w:szCs w:val="24"/>
        </w:rPr>
      </w:pPr>
      <w:r w:rsidRPr="00940ADC">
        <w:rPr>
          <w:rFonts w:ascii="Times New Roman" w:hAnsi="Times New Roman" w:cs="Times New Roman"/>
          <w:b/>
          <w:sz w:val="24"/>
          <w:szCs w:val="24"/>
        </w:rPr>
        <w:t>EL CONCEJO DELIBERANTE SANCIONA CON FUERZA DE ORDENANZA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PRIMERO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ED1BF5" w:rsidRPr="00940ADC">
        <w:rPr>
          <w:rFonts w:ascii="Times New Roman" w:hAnsi="Times New Roman" w:cs="Times New Roman"/>
          <w:sz w:val="24"/>
          <w:szCs w:val="24"/>
        </w:rPr>
        <w:t>Facultase al Departamento Ejecutivo a través de la Secretaría de Obras y Servicios</w:t>
      </w:r>
      <w:r w:rsidR="00284B38" w:rsidRPr="00940ADC">
        <w:rPr>
          <w:rFonts w:ascii="Times New Roman" w:hAnsi="Times New Roman" w:cs="Times New Roman"/>
          <w:sz w:val="24"/>
          <w:szCs w:val="24"/>
        </w:rPr>
        <w:t xml:space="preserve"> </w:t>
      </w:r>
      <w:r w:rsidR="00ED1BF5" w:rsidRPr="00940ADC">
        <w:rPr>
          <w:rFonts w:ascii="Times New Roman" w:hAnsi="Times New Roman" w:cs="Times New Roman"/>
          <w:sz w:val="24"/>
          <w:szCs w:val="24"/>
        </w:rPr>
        <w:t>Públicos, a promover obras públicas, cuya ejecución estará a cargo de dicha Secretaría o empresas contratistas y será costeado por los vecinos frentistas o beneficiarios directos, en un todo de acuerdo a lo preceptuado por esta Ordenanza.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SEGUNDO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ED1BF5" w:rsidRPr="00940ADC">
        <w:rPr>
          <w:rFonts w:ascii="Times New Roman" w:hAnsi="Times New Roman" w:cs="Times New Roman"/>
          <w:sz w:val="24"/>
          <w:szCs w:val="24"/>
        </w:rPr>
        <w:t>Las obras a las que se refiere la presente podrán ser de cualquier tipo, tales como pavimento, ya sea de hormigón o asfáltico, cordon cuneta, abovedado, enripiado y apertura de calles, cañerías</w:t>
      </w:r>
      <w:r w:rsidR="0078623A" w:rsidRPr="00940ADC">
        <w:rPr>
          <w:rFonts w:ascii="Times New Roman" w:hAnsi="Times New Roman" w:cs="Times New Roman"/>
          <w:sz w:val="24"/>
          <w:szCs w:val="24"/>
        </w:rPr>
        <w:t xml:space="preserve"> de conducción de aguas servidas, gas, alumbrado, señalización de calles, etc., siendo la enunciación precedente indicativa y no excluyente de otras obras.</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TERCERO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El aporte vecinal no será nunca superior al 80% del costo de las obras quedando a cargo de las partes la determinación del porcentaje definitivo que le corresponderá a cada uno.</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lastRenderedPageBreak/>
        <w:t>ARTICULO CUARTO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Estará, en todos los casos, a cargo exclusivamente del Municipio, lo siguiente: a</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Asistencia Técnica: que comprende la ejecución total o parcial del proyecto, dirección o contralor técnico de los trabajos y su liquidación y la permanente inspección durante el período de la construcción; b</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Eximición de cualquier tasa que pudiera gravar la construcción de la obra; c</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0078623A" w:rsidRPr="00940ADC">
        <w:rPr>
          <w:rFonts w:ascii="Times New Roman" w:hAnsi="Times New Roman" w:cs="Times New Roman"/>
          <w:sz w:val="24"/>
          <w:szCs w:val="24"/>
        </w:rPr>
        <w:t>Asistir, coordinar y gestionar ante otras reparticiones, ya sean Nacionales, Provinciales o Municipales, o prestatarias de Servicios Públicos, todo lo atinente a las obras con colaboración vecinal.</w:t>
      </w:r>
    </w:p>
    <w:p w:rsidR="00660DB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QUINTO:</w:t>
      </w:r>
      <w:r w:rsidRPr="00940ADC">
        <w:rPr>
          <w:rFonts w:ascii="Times New Roman" w:hAnsi="Times New Roman" w:cs="Times New Roman"/>
          <w:sz w:val="24"/>
          <w:szCs w:val="24"/>
        </w:rPr>
        <w:t xml:space="preserve"> </w:t>
      </w:r>
      <w:r w:rsidR="00745A79" w:rsidRPr="00940ADC">
        <w:rPr>
          <w:rFonts w:ascii="Times New Roman" w:hAnsi="Times New Roman" w:cs="Times New Roman"/>
          <w:sz w:val="24"/>
          <w:szCs w:val="24"/>
        </w:rPr>
        <w:t>Cuando un grupo de vecinos, propietarios o poseedores de inmuebles agrupados en un barrio o calle, desea realizar alguna obra de conformidad a lo establecido en la presente Ordenanza, deberá ajustarse a las siguientes normas.</w:t>
      </w:r>
    </w:p>
    <w:p w:rsidR="00745A79" w:rsidRPr="00940ADC" w:rsidRDefault="00745A79" w:rsidP="00940ADC">
      <w:pPr>
        <w:pStyle w:val="Prrafodelista"/>
        <w:keepNext/>
        <w:numPr>
          <w:ilvl w:val="0"/>
          <w:numId w:val="7"/>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 xml:space="preserve">El número de propietario a presentarse y que manifiesten voluntad expresa, no podrá ser inferior al 80% del total de beneficiarios que deben aportar, contando los que deben otorgar la conformidad tácita. Se considera conformidad tácita y obligatoria, la de los propietarios de inmuebles baldíos, siempre que la cuadra o circuito, </w:t>
      </w:r>
      <w:r w:rsidR="00B362BC" w:rsidRPr="00940ADC">
        <w:rPr>
          <w:rFonts w:ascii="Times New Roman" w:hAnsi="Times New Roman" w:cs="Times New Roman"/>
          <w:sz w:val="24"/>
          <w:szCs w:val="24"/>
        </w:rPr>
        <w:t>CONSIDERANDO</w:t>
      </w:r>
      <w:r w:rsidRPr="00940ADC">
        <w:rPr>
          <w:rFonts w:ascii="Times New Roman" w:hAnsi="Times New Roman" w:cs="Times New Roman"/>
          <w:sz w:val="24"/>
          <w:szCs w:val="24"/>
        </w:rPr>
        <w:t>estos, no supere en un cincuenta por ciento</w:t>
      </w:r>
      <w:r w:rsidR="00A026FA" w:rsidRPr="00940ADC">
        <w:rPr>
          <w:rFonts w:ascii="Times New Roman" w:hAnsi="Times New Roman" w:cs="Times New Roman"/>
          <w:sz w:val="24"/>
          <w:szCs w:val="24"/>
        </w:rPr>
        <w:t xml:space="preserve"> </w:t>
      </w:r>
      <w:r w:rsidR="00940ADC">
        <w:rPr>
          <w:rFonts w:ascii="Times New Roman" w:hAnsi="Times New Roman" w:cs="Times New Roman"/>
          <w:sz w:val="24"/>
          <w:szCs w:val="24"/>
        </w:rPr>
        <w:t xml:space="preserve"> (</w:t>
      </w:r>
      <w:r w:rsidRPr="00940ADC">
        <w:rPr>
          <w:rFonts w:ascii="Times New Roman" w:hAnsi="Times New Roman" w:cs="Times New Roman"/>
          <w:sz w:val="24"/>
          <w:szCs w:val="24"/>
        </w:rPr>
        <w:t>50%</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Pr="00940ADC">
        <w:rPr>
          <w:rFonts w:ascii="Times New Roman" w:hAnsi="Times New Roman" w:cs="Times New Roman"/>
          <w:sz w:val="24"/>
          <w:szCs w:val="24"/>
        </w:rPr>
        <w:t>de la suma de los frentes.</w:t>
      </w:r>
    </w:p>
    <w:p w:rsidR="00745A79" w:rsidRPr="00940ADC" w:rsidRDefault="00745A79" w:rsidP="00940ADC">
      <w:pPr>
        <w:pStyle w:val="Prrafodelista"/>
        <w:keepNext/>
        <w:numPr>
          <w:ilvl w:val="0"/>
          <w:numId w:val="7"/>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exista interés vecinal en la realización de la obra y no sea posible llenar los requisitos del apartado anterior, y mediaren razones de fuerza mayor, de seguridad colectiva o de evidente interés público, el Dpto. Ejecutivo queda facultado para la realización de obras dentro del sistema de colaboración vecinal contemplado en esta Ordenanza.</w:t>
      </w:r>
    </w:p>
    <w:p w:rsidR="00745A79" w:rsidRPr="00940ADC" w:rsidRDefault="00745A79" w:rsidP="00940ADC">
      <w:pPr>
        <w:pStyle w:val="Prrafodelista"/>
        <w:keepNext/>
        <w:numPr>
          <w:ilvl w:val="0"/>
          <w:numId w:val="7"/>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Acta de Asamblea vecinal en la que se resolvió solicitar la realización de los trabajos y nombramiento de uno o mas representantes del Centro Vecinal que se encargará de gestionar y coordinar conjuntamente con</w:t>
      </w:r>
      <w:r w:rsidR="00284B38" w:rsidRPr="00940ADC">
        <w:rPr>
          <w:rFonts w:ascii="Times New Roman" w:hAnsi="Times New Roman" w:cs="Times New Roman"/>
          <w:sz w:val="24"/>
          <w:szCs w:val="24"/>
        </w:rPr>
        <w:t xml:space="preserve"> </w:t>
      </w:r>
      <w:r w:rsidRPr="00940ADC">
        <w:rPr>
          <w:rFonts w:ascii="Times New Roman" w:hAnsi="Times New Roman" w:cs="Times New Roman"/>
          <w:sz w:val="24"/>
          <w:szCs w:val="24"/>
        </w:rPr>
        <w:t>la Secretaría de Obras Públicas, el accionar ante el Dpto. Ejecutivo.</w:t>
      </w:r>
    </w:p>
    <w:p w:rsidR="00284B38" w:rsidRPr="00940ADC" w:rsidRDefault="00745A79" w:rsidP="00940ADC">
      <w:pPr>
        <w:pStyle w:val="Prrafodelista"/>
        <w:keepNext/>
        <w:numPr>
          <w:ilvl w:val="0"/>
          <w:numId w:val="7"/>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 base a estos antecedentes, la Municipalidad efectuará el estudio de factibilidad. En caso de ser posible, los vecinos, a través de la Comisión, completarán todos los datos catastrales de los inmuebles, y los que hagan a la titularidad del dominio, así como toda la documentación que sea menester para la realización.</w:t>
      </w:r>
    </w:p>
    <w:p w:rsidR="00660DB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SEXTO:</w:t>
      </w:r>
      <w:r w:rsidRPr="00940ADC">
        <w:rPr>
          <w:rFonts w:ascii="Times New Roman" w:hAnsi="Times New Roman" w:cs="Times New Roman"/>
          <w:sz w:val="24"/>
          <w:szCs w:val="24"/>
        </w:rPr>
        <w:t xml:space="preserve"> </w:t>
      </w:r>
      <w:r w:rsidR="00745A79" w:rsidRPr="00940ADC">
        <w:rPr>
          <w:rFonts w:ascii="Times New Roman" w:hAnsi="Times New Roman" w:cs="Times New Roman"/>
          <w:sz w:val="24"/>
          <w:szCs w:val="24"/>
        </w:rPr>
        <w:t>En aquellas obras en que el Municipio tenga capacidad de ejecución y que los Centros Vecinales así lo soliciten, se podrá realizar los trabajos por administración, en cuyo caso el procedimiento será el siguiente:</w:t>
      </w:r>
    </w:p>
    <w:p w:rsidR="00745A79" w:rsidRPr="00940ADC" w:rsidRDefault="00745A79" w:rsidP="00940ADC">
      <w:pPr>
        <w:pStyle w:val="Prrafodelista"/>
        <w:keepNext/>
        <w:numPr>
          <w:ilvl w:val="0"/>
          <w:numId w:val="8"/>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La Municipalidad por intermedio de la Secretaría de Obras Públicas calculará el presupuesto de la mano de obra correspondiente, el que será integrado</w:t>
      </w:r>
      <w:r w:rsidR="00953337" w:rsidRPr="00940ADC">
        <w:rPr>
          <w:rFonts w:ascii="Times New Roman" w:hAnsi="Times New Roman" w:cs="Times New Roman"/>
          <w:sz w:val="24"/>
          <w:szCs w:val="24"/>
        </w:rPr>
        <w:t xml:space="preserve"> por los jornales a emplear incluyendo los beneficios sociales.</w:t>
      </w:r>
    </w:p>
    <w:p w:rsidR="00284B38" w:rsidRPr="00940ADC" w:rsidRDefault="00953337" w:rsidP="00940ADC">
      <w:pPr>
        <w:pStyle w:val="Prrafodelista"/>
        <w:keepNext/>
        <w:numPr>
          <w:ilvl w:val="0"/>
          <w:numId w:val="8"/>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Los materiales necesarios serán adquiridos en forma especial para la obra, y su costo será a cargo de los vecinos en la parte que les corresponde; estos deberán entregar el dinero en efectivo o materiales, hasta el 30% del total a utilizar con antelación a la iniciación de la obra y documentará el saldo restante del costo presunto, quedando sujeto el ajuste final al costo real de la obra.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SEPTIMO:</w:t>
      </w:r>
      <w:r w:rsidRPr="00940ADC">
        <w:rPr>
          <w:rFonts w:ascii="Times New Roman" w:hAnsi="Times New Roman" w:cs="Times New Roman"/>
          <w:sz w:val="24"/>
          <w:szCs w:val="24"/>
        </w:rPr>
        <w:t xml:space="preserve"> </w:t>
      </w:r>
      <w:r w:rsidR="00953337" w:rsidRPr="00940ADC">
        <w:rPr>
          <w:rFonts w:ascii="Times New Roman" w:hAnsi="Times New Roman" w:cs="Times New Roman"/>
          <w:sz w:val="24"/>
          <w:szCs w:val="24"/>
        </w:rPr>
        <w:t>Del presupuesto final una concluida la obra se procederá a prorratear el porcentaje que corresponda a los vecinos, siendo el porcentaje restante a cargo de la Municipalidad.</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OCTAVO:</w:t>
      </w:r>
      <w:r w:rsidRPr="00940ADC">
        <w:rPr>
          <w:rFonts w:ascii="Times New Roman" w:hAnsi="Times New Roman" w:cs="Times New Roman"/>
          <w:sz w:val="24"/>
          <w:szCs w:val="24"/>
        </w:rPr>
        <w:t xml:space="preserve"> </w:t>
      </w:r>
      <w:r w:rsidR="00953337" w:rsidRPr="00940ADC">
        <w:rPr>
          <w:rFonts w:ascii="Times New Roman" w:hAnsi="Times New Roman" w:cs="Times New Roman"/>
          <w:sz w:val="24"/>
          <w:szCs w:val="24"/>
        </w:rPr>
        <w:t>En caso que el estudio de factibilidad aconseje la realización de la obra, y esta no pueda ser ejecutada por administración, se procederá a la formación de la “Carpeta Técnica” y “El pliego general de base y condiciones y especificaciones particulares o de cotejo”, de conformidad a las normas usuales en la Municipalidad para ello.</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lastRenderedPageBreak/>
        <w:t>ARTICULO NOVENO:</w:t>
      </w:r>
      <w:r w:rsidRPr="00940ADC">
        <w:rPr>
          <w:rFonts w:ascii="Times New Roman" w:hAnsi="Times New Roman" w:cs="Times New Roman"/>
          <w:sz w:val="24"/>
          <w:szCs w:val="24"/>
        </w:rPr>
        <w:t xml:space="preserve"> </w:t>
      </w:r>
      <w:r w:rsidR="00953337" w:rsidRPr="00940ADC">
        <w:rPr>
          <w:rFonts w:ascii="Times New Roman" w:hAnsi="Times New Roman" w:cs="Times New Roman"/>
          <w:sz w:val="24"/>
          <w:szCs w:val="24"/>
        </w:rPr>
        <w:t>Previo a la Licitación, o cotejo o adjudicación de la obra, se hará conocer a los vecinos</w:t>
      </w:r>
      <w:r w:rsidR="00EF451D" w:rsidRPr="00940ADC">
        <w:rPr>
          <w:rFonts w:ascii="Times New Roman" w:hAnsi="Times New Roman" w:cs="Times New Roman"/>
          <w:sz w:val="24"/>
          <w:szCs w:val="24"/>
        </w:rPr>
        <w:t xml:space="preserve"> el presupuesto estimativo de la misma, las condiciones de financiación, el plazo de ejecución y de más detalles referidos a la misma, debiendo los vecinos asumir el compromiso de pago mediante la firma del contrato respectivo. De no mediar objeción por parte de la mayoría, en las proporciones exigidas en el Art. 4° Inc. A</w:t>
      </w:r>
      <w:r w:rsidR="00940ADC">
        <w:rPr>
          <w:rFonts w:ascii="Times New Roman" w:hAnsi="Times New Roman" w:cs="Times New Roman"/>
          <w:sz w:val="24"/>
          <w:szCs w:val="24"/>
        </w:rPr>
        <w:t xml:space="preserve">) , </w:t>
      </w:r>
      <w:r w:rsidR="00EF451D" w:rsidRPr="00940ADC">
        <w:rPr>
          <w:rFonts w:ascii="Times New Roman" w:hAnsi="Times New Roman" w:cs="Times New Roman"/>
          <w:sz w:val="24"/>
          <w:szCs w:val="24"/>
        </w:rPr>
        <w:t xml:space="preserve"> dentro de los cinco</w:t>
      </w:r>
      <w:r w:rsidR="00A026FA" w:rsidRPr="00940ADC">
        <w:rPr>
          <w:rFonts w:ascii="Times New Roman" w:hAnsi="Times New Roman" w:cs="Times New Roman"/>
          <w:sz w:val="24"/>
          <w:szCs w:val="24"/>
        </w:rPr>
        <w:t xml:space="preserve"> </w:t>
      </w:r>
      <w:r w:rsidR="00940ADC">
        <w:rPr>
          <w:rFonts w:ascii="Times New Roman" w:hAnsi="Times New Roman" w:cs="Times New Roman"/>
          <w:sz w:val="24"/>
          <w:szCs w:val="24"/>
        </w:rPr>
        <w:t xml:space="preserve"> (</w:t>
      </w:r>
      <w:r w:rsidR="00EF451D" w:rsidRPr="00940ADC">
        <w:rPr>
          <w:rFonts w:ascii="Times New Roman" w:hAnsi="Times New Roman" w:cs="Times New Roman"/>
          <w:sz w:val="24"/>
          <w:szCs w:val="24"/>
        </w:rPr>
        <w:t>5</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00EF451D" w:rsidRPr="00940ADC">
        <w:rPr>
          <w:rFonts w:ascii="Times New Roman" w:hAnsi="Times New Roman" w:cs="Times New Roman"/>
          <w:sz w:val="24"/>
          <w:szCs w:val="24"/>
        </w:rPr>
        <w:t>días de puesta la carpeta técnica a conocimiento de los interesados, la Municipalidad procederá a continuar el trámite.</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w:t>
      </w:r>
      <w:r w:rsidRPr="00940ADC">
        <w:rPr>
          <w:rFonts w:ascii="Times New Roman" w:hAnsi="Times New Roman" w:cs="Times New Roman"/>
          <w:sz w:val="24"/>
          <w:szCs w:val="24"/>
        </w:rPr>
        <w:t xml:space="preserve"> </w:t>
      </w:r>
      <w:r w:rsidR="00EF451D" w:rsidRPr="00940ADC">
        <w:rPr>
          <w:rFonts w:ascii="Times New Roman" w:hAnsi="Times New Roman" w:cs="Times New Roman"/>
          <w:sz w:val="24"/>
          <w:szCs w:val="24"/>
        </w:rPr>
        <w:t>En todos los casos estará a cargo de la Municipalidad establecer el costo final de los gastos ocasionados por la obra y en base a ello las cuotas que correspondan a los vecinos, tanto a los adherentes de la obra, como a los remisos y propietarios de baldíos.</w:t>
      </w:r>
    </w:p>
    <w:p w:rsidR="00284B38" w:rsidRPr="00940ADC" w:rsidRDefault="00EF451D"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FORMAS DE FINANCIACION</w:t>
      </w:r>
    </w:p>
    <w:p w:rsidR="00EF451D"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PRIMERO:</w:t>
      </w:r>
      <w:r w:rsidRPr="00940ADC">
        <w:rPr>
          <w:rFonts w:ascii="Times New Roman" w:hAnsi="Times New Roman" w:cs="Times New Roman"/>
          <w:sz w:val="24"/>
          <w:szCs w:val="24"/>
        </w:rPr>
        <w:t xml:space="preserve"> </w:t>
      </w:r>
      <w:r w:rsidR="00EF451D" w:rsidRPr="00940ADC">
        <w:rPr>
          <w:rFonts w:ascii="Times New Roman" w:hAnsi="Times New Roman" w:cs="Times New Roman"/>
          <w:sz w:val="24"/>
          <w:szCs w:val="24"/>
        </w:rPr>
        <w:t>La financiación se podrá realizar a través de las siguientes alternativas:</w:t>
      </w:r>
    </w:p>
    <w:p w:rsidR="00284B38" w:rsidRPr="00940ADC" w:rsidRDefault="00EF451D" w:rsidP="00940ADC">
      <w:pPr>
        <w:pStyle w:val="Prrafodelista"/>
        <w:keepNext/>
        <w:numPr>
          <w:ilvl w:val="0"/>
          <w:numId w:val="9"/>
        </w:numPr>
        <w:spacing w:after="120" w:line="240" w:lineRule="auto"/>
        <w:ind w:left="0" w:firstLine="0"/>
        <w:rPr>
          <w:rFonts w:ascii="Times New Roman" w:eastAsia="Segoe UI Emoji" w:hAnsi="Times New Roman" w:cs="Times New Roman"/>
          <w:sz w:val="24"/>
          <w:szCs w:val="24"/>
        </w:rPr>
      </w:pPr>
      <w:r w:rsidRPr="00940ADC">
        <w:rPr>
          <w:rFonts w:ascii="Times New Roman" w:hAnsi="Times New Roman" w:cs="Times New Roman"/>
          <w:sz w:val="24"/>
          <w:szCs w:val="24"/>
        </w:rPr>
        <w:t xml:space="preserve">Entre la Municipalidad y los vecinos; en este caso serán de aplicación las disposiciones del Art. 6° Inc. </w:t>
      </w:r>
      <w:r w:rsidRPr="00940ADC">
        <w:rPr>
          <w:rFonts w:ascii="Times New Roman" w:eastAsia="Segoe UI Emoji" w:hAnsi="Times New Roman" w:cs="Times New Roman"/>
          <w:sz w:val="24"/>
          <w:szCs w:val="24"/>
        </w:rPr>
        <w:t>b</w:t>
      </w:r>
      <w:r w:rsidR="00940ADC">
        <w:rPr>
          <w:rFonts w:ascii="Times New Roman" w:eastAsia="Segoe UI Emoji" w:hAnsi="Times New Roman" w:cs="Times New Roman"/>
          <w:sz w:val="24"/>
          <w:szCs w:val="24"/>
        </w:rPr>
        <w:t xml:space="preserve">) . </w:t>
      </w:r>
    </w:p>
    <w:p w:rsidR="00EF451D" w:rsidRPr="00940ADC" w:rsidRDefault="00EF451D" w:rsidP="00940ADC">
      <w:pPr>
        <w:pStyle w:val="Prrafodelista"/>
        <w:keepNext/>
        <w:numPr>
          <w:ilvl w:val="0"/>
          <w:numId w:val="9"/>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Entre la entidad financiera y los vecinos, en cuyo caso la Municipalidad gestionará el otorgamiento de los créditos respectivos, acompañando toda la documentación necesaria y la estimación del costo global de la obra y el costo por frentista. Los fondos acordados serán acreditados en una cuenta especial, abierta a tal efecto, la que será administrada por la Municipalidad y controlada por los vecinos</w:t>
      </w:r>
      <w:r w:rsidR="00A026FA" w:rsidRPr="00940ADC">
        <w:rPr>
          <w:rFonts w:ascii="Times New Roman" w:hAnsi="Times New Roman" w:cs="Times New Roman"/>
          <w:sz w:val="24"/>
          <w:szCs w:val="24"/>
        </w:rPr>
        <w:t xml:space="preserve"> </w:t>
      </w:r>
      <w:r w:rsidR="00940ADC">
        <w:rPr>
          <w:rFonts w:ascii="Times New Roman" w:hAnsi="Times New Roman" w:cs="Times New Roman"/>
          <w:sz w:val="24"/>
          <w:szCs w:val="24"/>
        </w:rPr>
        <w:t xml:space="preserve"> (</w:t>
      </w:r>
      <w:r w:rsidRPr="00940ADC">
        <w:rPr>
          <w:rFonts w:ascii="Times New Roman" w:hAnsi="Times New Roman" w:cs="Times New Roman"/>
          <w:sz w:val="24"/>
          <w:szCs w:val="24"/>
        </w:rPr>
        <w:t>es decir, por los representantes de los representantes de los vecinos</w:t>
      </w:r>
      <w:r w:rsidR="00940ADC">
        <w:rPr>
          <w:rFonts w:ascii="Times New Roman" w:hAnsi="Times New Roman" w:cs="Times New Roman"/>
          <w:sz w:val="24"/>
          <w:szCs w:val="24"/>
        </w:rPr>
        <w:t xml:space="preserve">) . </w:t>
      </w:r>
    </w:p>
    <w:p w:rsidR="00F56171" w:rsidRPr="00940ADC" w:rsidRDefault="00EF451D" w:rsidP="00940ADC">
      <w:pPr>
        <w:pStyle w:val="Prrafodelista"/>
        <w:keepNext/>
        <w:numPr>
          <w:ilvl w:val="0"/>
          <w:numId w:val="9"/>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Entre una entidad financiera y la Municipalidad; en este caso el crédito se otorgará a la Municipalidad la que realizará la obra y cobrará los importes resultantes a los vecinos, en los términos de esta Ordenanza.</w:t>
      </w:r>
    </w:p>
    <w:p w:rsidR="00284B38" w:rsidRPr="00940ADC" w:rsidRDefault="00EF451D"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FORMA DE EFECTIVIZACION DE LOS APORTES</w:t>
      </w:r>
    </w:p>
    <w:p w:rsidR="00FD1436" w:rsidRPr="00940ADC" w:rsidRDefault="00B362BC" w:rsidP="00940ADC">
      <w:pPr>
        <w:pStyle w:val="Prrafodelista"/>
        <w:keepNext/>
        <w:numPr>
          <w:ilvl w:val="0"/>
          <w:numId w:val="10"/>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u w:val="single"/>
        </w:rPr>
        <w:t>ARTICULO DÉCIMO SEGUNDO:</w:t>
      </w:r>
      <w:r w:rsidRPr="00940ADC">
        <w:rPr>
          <w:rFonts w:ascii="Times New Roman" w:hAnsi="Times New Roman" w:cs="Times New Roman"/>
          <w:sz w:val="24"/>
          <w:szCs w:val="24"/>
        </w:rPr>
        <w:t xml:space="preserve"> </w:t>
      </w:r>
      <w:r w:rsidR="00FD1436" w:rsidRPr="00940ADC">
        <w:rPr>
          <w:rFonts w:ascii="Times New Roman" w:hAnsi="Times New Roman" w:cs="Times New Roman"/>
          <w:sz w:val="24"/>
          <w:szCs w:val="24"/>
        </w:rPr>
        <w:t>Cuando las obras se realizan de acuerdo a lo estipulado en el Art. 11 Inc. a</w:t>
      </w:r>
      <w:r w:rsidR="00940ADC">
        <w:rPr>
          <w:rFonts w:ascii="Times New Roman" w:hAnsi="Times New Roman" w:cs="Times New Roman"/>
          <w:sz w:val="24"/>
          <w:szCs w:val="24"/>
        </w:rPr>
        <w:t xml:space="preserve">) , </w:t>
      </w:r>
      <w:r w:rsidR="00FD1436" w:rsidRPr="00940ADC">
        <w:rPr>
          <w:rFonts w:ascii="Times New Roman" w:hAnsi="Times New Roman" w:cs="Times New Roman"/>
          <w:sz w:val="24"/>
          <w:szCs w:val="24"/>
        </w:rPr>
        <w:t xml:space="preserve"> será de aplicación lo establecido en el Art. 6°, y el saldo será documentado en un plazo no amyor de 10 meses.</w:t>
      </w:r>
    </w:p>
    <w:p w:rsidR="00FD1436" w:rsidRPr="00940ADC" w:rsidRDefault="00FD1436" w:rsidP="00940ADC">
      <w:pPr>
        <w:pStyle w:val="Prrafodelista"/>
        <w:keepNext/>
        <w:numPr>
          <w:ilvl w:val="0"/>
          <w:numId w:val="10"/>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la obra se financia mediante el uso de crédito bancario por parte de los vecinos, será de aplicación lo establecido en el Art. 11° Inc. b</w:t>
      </w:r>
      <w:r w:rsidR="00940ADC">
        <w:rPr>
          <w:rFonts w:ascii="Times New Roman" w:hAnsi="Times New Roman" w:cs="Times New Roman"/>
          <w:sz w:val="24"/>
          <w:szCs w:val="24"/>
        </w:rPr>
        <w:t xml:space="preserve">) , </w:t>
      </w:r>
      <w:r w:rsidRPr="00940ADC">
        <w:rPr>
          <w:rFonts w:ascii="Times New Roman" w:hAnsi="Times New Roman" w:cs="Times New Roman"/>
          <w:sz w:val="24"/>
          <w:szCs w:val="24"/>
        </w:rPr>
        <w:t xml:space="preserve"> quedando la forma de pago a criterio del interesado.</w:t>
      </w:r>
    </w:p>
    <w:p w:rsidR="00FD1436" w:rsidRPr="00940ADC" w:rsidRDefault="00FD1436" w:rsidP="00940ADC">
      <w:pPr>
        <w:pStyle w:val="Prrafodelista"/>
        <w:keepNext/>
        <w:numPr>
          <w:ilvl w:val="0"/>
          <w:numId w:val="10"/>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la financiación la realiza la Municipalidad, mediante el uso del crédito bancario, la financiación a los vecinos se efectuará en las mismas condiciones y plazos otorgados a la Municipalidad.</w:t>
      </w:r>
    </w:p>
    <w:p w:rsidR="00FD1436" w:rsidRPr="00940ADC" w:rsidRDefault="00FD1436" w:rsidP="00940ADC">
      <w:pPr>
        <w:pStyle w:val="Prrafodelista"/>
        <w:keepNext/>
        <w:numPr>
          <w:ilvl w:val="0"/>
          <w:numId w:val="10"/>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la financiación la efectúe la Municipalidad con fondos propios, se seguirá el siguiente procedimiento:</w:t>
      </w:r>
    </w:p>
    <w:p w:rsidR="00FD1436" w:rsidRPr="00940ADC" w:rsidRDefault="00FD1436" w:rsidP="00940ADC">
      <w:pPr>
        <w:pStyle w:val="Prrafodelista"/>
        <w:keepNext/>
        <w:numPr>
          <w:ilvl w:val="0"/>
          <w:numId w:val="11"/>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Los vecinos podrán hacer efectiva su participación en un plazo no mayor de 10 meses, con el correspondiente interés al tipo bancario.</w:t>
      </w:r>
    </w:p>
    <w:p w:rsidR="00FD1436" w:rsidRPr="00940ADC" w:rsidRDefault="00FD1436" w:rsidP="00940ADC">
      <w:pPr>
        <w:pStyle w:val="Prrafodelista"/>
        <w:keepNext/>
        <w:numPr>
          <w:ilvl w:val="0"/>
          <w:numId w:val="11"/>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La Municipalidad podrá realizar la percepción, sujeta a las variaciones finales del costo, en base al presupuesto de realización de la obra, aprobado en la Carpeta Técnica. Tal percepción, en todos los casos se hará por Rentas Municipales, y podrá comenzar dentro de los 30 días de iniciadas las obras.</w:t>
      </w:r>
    </w:p>
    <w:p w:rsidR="00284B38" w:rsidRPr="00940ADC" w:rsidRDefault="00FD1436" w:rsidP="00940ADC">
      <w:pPr>
        <w:pStyle w:val="Prrafodelista"/>
        <w:keepNext/>
        <w:numPr>
          <w:ilvl w:val="0"/>
          <w:numId w:val="11"/>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 xml:space="preserve">Una vez concluída la misma y habilitadas al uso público se confeccionará el reajuste definitivo del presupuesto insumido por la realización haciéndose las correcciones en las cuotas consecutivas dará derecho a la Municipalidad a reclamar por vía de apremio la totalidad del monto de contribución que corresponda al vecino remiso, sin perjuicio del reajuste a que alude el apartado anterior. Para ello será título suficiente </w:t>
      </w:r>
      <w:r w:rsidRPr="00940ADC">
        <w:rPr>
          <w:rFonts w:ascii="Times New Roman" w:hAnsi="Times New Roman" w:cs="Times New Roman"/>
          <w:sz w:val="24"/>
          <w:szCs w:val="24"/>
        </w:rPr>
        <w:lastRenderedPageBreak/>
        <w:t>la boleta de deuda emitida por la Dirección de Rentas Municipal y firmada por el Intendente Municipal.</w:t>
      </w:r>
    </w:p>
    <w:p w:rsidR="00FD1436"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TERCERO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FD1436" w:rsidRPr="00940ADC">
        <w:rPr>
          <w:rFonts w:ascii="Times New Roman" w:hAnsi="Times New Roman" w:cs="Times New Roman"/>
          <w:sz w:val="24"/>
          <w:szCs w:val="24"/>
        </w:rPr>
        <w:t>Las liquidaciones del aporte vecinal se efectuarán con arreglo a las siguientes nor</w:t>
      </w:r>
      <w:r w:rsidR="006045D2" w:rsidRPr="00940ADC">
        <w:rPr>
          <w:rFonts w:ascii="Times New Roman" w:hAnsi="Times New Roman" w:cs="Times New Roman"/>
          <w:sz w:val="24"/>
          <w:szCs w:val="24"/>
        </w:rPr>
        <w:t>m</w:t>
      </w:r>
      <w:r w:rsidR="00FD1436" w:rsidRPr="00940ADC">
        <w:rPr>
          <w:rFonts w:ascii="Times New Roman" w:hAnsi="Times New Roman" w:cs="Times New Roman"/>
          <w:sz w:val="24"/>
          <w:szCs w:val="24"/>
        </w:rPr>
        <w:t>as:</w:t>
      </w:r>
    </w:p>
    <w:p w:rsidR="006045D2" w:rsidRPr="00940ADC" w:rsidRDefault="006045D2"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Para cañerías y conducciones, instalaciones de alumbrado y conducción eléctrica, el costo final y total de la obra y será prorrateado por la suma de los frentes corregido. El producto de este resultado por el frente corregido de cada propietario, dará el importe a pagar por cada vecino.</w:t>
      </w:r>
    </w:p>
    <w:p w:rsidR="006045D2" w:rsidRPr="00940ADC" w:rsidRDefault="006045D2"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Para los desagües pluviales y drenajes se considerará como zona beneficiaria toda aquella que de manera directa o indirecta concurren a volcar sus aguas en un sistema independiente. En caso de construirse en forma separada el colector principal de la red secundaria se liquidará en forma separada ambas etapas, pero siempre entre la zona beneficiaria. En caso de construirse separadamente la red secundaria, la liquidación de esta etapa se hará únicamente entre las sub-zonas construidas. La base de liquidación será la indicada anteriormente y la mecánica para establecer el frente corregido será igual.</w:t>
      </w:r>
    </w:p>
    <w:p w:rsidR="006045D2" w:rsidRPr="00940ADC" w:rsidRDefault="006045D2"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 la liquidación de obras de pavimento se procederá de la siguiente manera:</w:t>
      </w:r>
    </w:p>
    <w:p w:rsidR="006045D2" w:rsidRPr="00940ADC" w:rsidRDefault="006045D2"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Corresponde a cada cuadra el i</w:t>
      </w:r>
      <w:r w:rsidR="002052B1" w:rsidRPr="00940ADC">
        <w:rPr>
          <w:rFonts w:ascii="Times New Roman" w:hAnsi="Times New Roman" w:cs="Times New Roman"/>
          <w:sz w:val="24"/>
          <w:szCs w:val="24"/>
        </w:rPr>
        <w:t>mporte de multiplicar la superfic</w:t>
      </w:r>
      <w:r w:rsidRPr="00940ADC">
        <w:rPr>
          <w:rFonts w:ascii="Times New Roman" w:hAnsi="Times New Roman" w:cs="Times New Roman"/>
          <w:sz w:val="24"/>
          <w:szCs w:val="24"/>
        </w:rPr>
        <w:t>ie pavimentada mas la mitad o una cuarta parte de las bocas calles correspondientes, por el precio unitario del pavimento que resulta en general para barrios o cuadras que se considere.</w:t>
      </w:r>
    </w:p>
    <w:p w:rsidR="006045D2" w:rsidRPr="00940ADC" w:rsidRDefault="006045D2"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El precio correspondiente a cada cuadra será dividido por la suma de fuentes corregidos de la misma. Este resultado se multiplicará por el frente corregido que corresponde a cada vecino y el resultado será la parte proporcional que le corresponda pagar a cada uno.</w:t>
      </w:r>
    </w:p>
    <w:p w:rsidR="006045D2" w:rsidRPr="00940ADC" w:rsidRDefault="006045D2"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Las bocas calles están definidas por el área comprendida por las perpendiculares a los ejes de las calles, trazadas de los vértices de las ochavas reglamentarias y sus respectivos cordones.</w:t>
      </w:r>
    </w:p>
    <w:p w:rsidR="006045D2" w:rsidRPr="00940ADC" w:rsidRDefault="006045D2"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La sup.de boca calle que corresponda, será prorrateada entre los inmuebles situados hasta</w:t>
      </w:r>
      <w:r w:rsidR="002052B1" w:rsidRPr="00940ADC">
        <w:rPr>
          <w:rFonts w:ascii="Times New Roman" w:hAnsi="Times New Roman" w:cs="Times New Roman"/>
          <w:sz w:val="24"/>
          <w:szCs w:val="24"/>
        </w:rPr>
        <w:t xml:space="preserve"> la mitad de la cuadra que concurra a ella.</w:t>
      </w:r>
    </w:p>
    <w:p w:rsidR="002052B1" w:rsidRPr="00940ADC" w:rsidRDefault="002052B1"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 caso de Avdas., cuando el ancho de la calzada pavimentada exceda los 9 mts. los vecinos asumirán el pago de 50% de la sup. excedente, correspondiendo al Municipio el otro 50%.</w:t>
      </w:r>
    </w:p>
    <w:p w:rsidR="00284B38" w:rsidRPr="00940ADC" w:rsidRDefault="002052B1" w:rsidP="00940ADC">
      <w:pPr>
        <w:pStyle w:val="Prrafodelista"/>
        <w:keepNext/>
        <w:numPr>
          <w:ilvl w:val="0"/>
          <w:numId w:val="13"/>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En los predios ubicados en las esquinas, la parte correspondiente estará dada por la longitud del frente real, meta libre de ochava, de ambos frentes, con las variaciones que le correspondan como frente corregido.</w:t>
      </w:r>
    </w:p>
    <w:p w:rsidR="002052B1" w:rsidRPr="00940ADC" w:rsidRDefault="002052B1"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Cordon Cuneta: corresponderá pagar a cada vecino el resultado de aplicar el costo unitario</w:t>
      </w:r>
      <w:r w:rsidR="00A026FA" w:rsidRPr="00940ADC">
        <w:rPr>
          <w:rFonts w:ascii="Times New Roman" w:hAnsi="Times New Roman" w:cs="Times New Roman"/>
          <w:sz w:val="24"/>
          <w:szCs w:val="24"/>
        </w:rPr>
        <w:t xml:space="preserve"> </w:t>
      </w:r>
      <w:r w:rsidR="00940ADC">
        <w:rPr>
          <w:rFonts w:ascii="Times New Roman" w:hAnsi="Times New Roman" w:cs="Times New Roman"/>
          <w:sz w:val="24"/>
          <w:szCs w:val="24"/>
        </w:rPr>
        <w:t xml:space="preserve"> (</w:t>
      </w:r>
      <w:r w:rsidRPr="00940ADC">
        <w:rPr>
          <w:rFonts w:ascii="Times New Roman" w:hAnsi="Times New Roman" w:cs="Times New Roman"/>
          <w:sz w:val="24"/>
          <w:szCs w:val="24"/>
        </w:rPr>
        <w:t>lineal</w:t>
      </w:r>
      <w:r w:rsidR="00940ADC">
        <w:rPr>
          <w:rFonts w:ascii="Times New Roman" w:hAnsi="Times New Roman" w:cs="Times New Roman"/>
          <w:sz w:val="24"/>
          <w:szCs w:val="24"/>
        </w:rPr>
        <w:t xml:space="preserve">) </w:t>
      </w:r>
      <w:r w:rsidR="00A026FA" w:rsidRPr="00940ADC">
        <w:rPr>
          <w:rFonts w:ascii="Times New Roman" w:hAnsi="Times New Roman" w:cs="Times New Roman"/>
          <w:sz w:val="24"/>
          <w:szCs w:val="24"/>
        </w:rPr>
        <w:t xml:space="preserve"> </w:t>
      </w:r>
      <w:r w:rsidRPr="00940ADC">
        <w:rPr>
          <w:rFonts w:ascii="Times New Roman" w:hAnsi="Times New Roman" w:cs="Times New Roman"/>
          <w:sz w:val="24"/>
          <w:szCs w:val="24"/>
        </w:rPr>
        <w:t>por su frente corregido, mas la parte correspondiente a la ochava con el mismo concepto que con el pavimento.</w:t>
      </w:r>
    </w:p>
    <w:p w:rsidR="00284B38" w:rsidRPr="00940ADC" w:rsidRDefault="002052B1" w:rsidP="00940ADC">
      <w:pPr>
        <w:pStyle w:val="Prrafodelista"/>
        <w:keepNext/>
        <w:numPr>
          <w:ilvl w:val="0"/>
          <w:numId w:val="12"/>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Veredas: Corresponderá pagar a cada vecino la superficie por el costo unitario de la misma. En este caso se tomará a sup.real de cada una.</w:t>
      </w:r>
    </w:p>
    <w:p w:rsidR="002052B1"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CUARTO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2052B1" w:rsidRPr="00940ADC">
        <w:rPr>
          <w:rFonts w:ascii="Times New Roman" w:hAnsi="Times New Roman" w:cs="Times New Roman"/>
          <w:sz w:val="24"/>
          <w:szCs w:val="24"/>
        </w:rPr>
        <w:t>Se define como frente corregido, al que resulta de agregar al frente real los siguientes incrementos:</w:t>
      </w:r>
    </w:p>
    <w:p w:rsidR="002052B1" w:rsidRPr="00940ADC" w:rsidRDefault="002052B1" w:rsidP="00940ADC">
      <w:pPr>
        <w:pStyle w:val="Prrafodelista"/>
        <w:keepNext/>
        <w:numPr>
          <w:ilvl w:val="0"/>
          <w:numId w:val="14"/>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Los predios que tengan una sup.mayor de 450 mts.cuadrados, sufrirán recargo de 0,2% por cada metro cuadrado de sup.que pase de la mínima mencionada.</w:t>
      </w:r>
    </w:p>
    <w:p w:rsidR="00284B38" w:rsidRPr="00940ADC" w:rsidRDefault="003F4371" w:rsidP="00940ADC">
      <w:pPr>
        <w:pStyle w:val="Prrafodelista"/>
        <w:keepNext/>
        <w:numPr>
          <w:ilvl w:val="0"/>
          <w:numId w:val="14"/>
        </w:numPr>
        <w:spacing w:after="120" w:line="240" w:lineRule="auto"/>
        <w:ind w:left="0" w:firstLine="0"/>
        <w:rPr>
          <w:rFonts w:ascii="Times New Roman" w:hAnsi="Times New Roman" w:cs="Times New Roman"/>
          <w:sz w:val="24"/>
          <w:szCs w:val="24"/>
        </w:rPr>
      </w:pPr>
      <w:r w:rsidRPr="00940ADC">
        <w:rPr>
          <w:rFonts w:ascii="Times New Roman" w:hAnsi="Times New Roman" w:cs="Times New Roman"/>
          <w:sz w:val="24"/>
          <w:szCs w:val="24"/>
        </w:rPr>
        <w:t>Cuando la superficie cubierta de una unidad de vivienda sea mayor de 250 metros cuadrados de sup., el frente real se incrementará en un 0,2 % por cada metro cuadrado de sup.cubierta que exceda la medida indicada.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lastRenderedPageBreak/>
        <w:t>ARTICULO DÉCIMO QUINTO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3F4371" w:rsidRPr="00940ADC">
        <w:rPr>
          <w:rFonts w:ascii="Times New Roman" w:hAnsi="Times New Roman" w:cs="Times New Roman"/>
          <w:sz w:val="24"/>
          <w:szCs w:val="24"/>
        </w:rPr>
        <w:t>En caso de vecinos no adherentes y de terrenos baldíos, a las liquidaciones que correspondan se les incrementará un 15%, que se percibirá como valor estimativo de los gastos indirectos y generales. El cobro se efectuará por boleta separada, pero en conjunto con la liquidación que por prorrateo corresponda.</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SEXTO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3F4371" w:rsidRPr="00940ADC">
        <w:rPr>
          <w:rFonts w:ascii="Times New Roman" w:hAnsi="Times New Roman" w:cs="Times New Roman"/>
          <w:sz w:val="24"/>
          <w:szCs w:val="24"/>
        </w:rPr>
        <w:t>Los predios oficiales sean de carácter nacional, provincial o muni</w:t>
      </w:r>
      <w:r w:rsidR="00DE65C9" w:rsidRPr="00940ADC">
        <w:rPr>
          <w:rFonts w:ascii="Times New Roman" w:hAnsi="Times New Roman" w:cs="Times New Roman"/>
          <w:sz w:val="24"/>
          <w:szCs w:val="24"/>
        </w:rPr>
        <w:t xml:space="preserve">cipal, de uso público o privado, los que la Iglesia y sin excepciones los </w:t>
      </w:r>
      <w:r w:rsidR="00281999" w:rsidRPr="00940ADC">
        <w:rPr>
          <w:rFonts w:ascii="Times New Roman" w:hAnsi="Times New Roman" w:cs="Times New Roman"/>
          <w:sz w:val="24"/>
          <w:szCs w:val="24"/>
        </w:rPr>
        <w:t>de cualquier institución de bien público, están obligados a construir a la realización de las obras, estando a cargo de la Municipalidad la gestión de reintegro del reaporte que les corresponda conforme a las liquidaciones que se efectúen. En caso de que por convenio</w:t>
      </w:r>
      <w:r w:rsidR="00312D4A" w:rsidRPr="00940ADC">
        <w:rPr>
          <w:rFonts w:ascii="Times New Roman" w:hAnsi="Times New Roman" w:cs="Times New Roman"/>
          <w:sz w:val="24"/>
          <w:szCs w:val="24"/>
        </w:rPr>
        <w:t>, legislación o cualquier disposición especial se encuentren excentos de contribuir, el Municipio responderá por el monto que corresponda a los mismos.</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SÉPTIMO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312D4A" w:rsidRPr="00940ADC">
        <w:rPr>
          <w:rFonts w:ascii="Times New Roman" w:hAnsi="Times New Roman" w:cs="Times New Roman"/>
          <w:sz w:val="24"/>
          <w:szCs w:val="24"/>
        </w:rPr>
        <w:t>La Dirección de Rentas Municipales, tendrá a su cargo la responsabilidad del cobro de las participaciones que correspondan a cada vecino. A tal fin llevará detallada cuenta del registro de vecinos contribuyentes, sus datos y el estado de sus cuentas, procurando mantener la información al día. En cada caso, estudiará y planificará los plazos de financiación, los intereses a aplicar, el importe mínimo de cuotas, las garantías a exigir a los propietarios y la fecha en que efectuará el cobro; otorgamiento de libre deuda a los que hubieren concluido el pago</w:t>
      </w:r>
      <w:r w:rsidR="007575F4" w:rsidRPr="00940ADC">
        <w:rPr>
          <w:rFonts w:ascii="Times New Roman" w:hAnsi="Times New Roman" w:cs="Times New Roman"/>
          <w:sz w:val="24"/>
          <w:szCs w:val="24"/>
        </w:rPr>
        <w:t xml:space="preserve"> de sus participaciones y efectuará cargos a los morosos.</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OCTAVO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7575F4" w:rsidRPr="00940ADC">
        <w:rPr>
          <w:rFonts w:ascii="Times New Roman" w:hAnsi="Times New Roman" w:cs="Times New Roman"/>
          <w:sz w:val="24"/>
          <w:szCs w:val="24"/>
        </w:rPr>
        <w:t>Derógase toda Ordenanza que se oponga a la presente.</w:t>
      </w:r>
    </w:p>
    <w:p w:rsidR="00284B38" w:rsidRPr="00940ADC" w:rsidRDefault="00B362BC"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u w:val="single"/>
        </w:rPr>
        <w:t>ARTICULO DÉCIMO NOVENO</w:t>
      </w:r>
      <w:r w:rsidR="00A026FA" w:rsidRPr="00940ADC">
        <w:rPr>
          <w:rFonts w:ascii="Times New Roman" w:hAnsi="Times New Roman" w:cs="Times New Roman"/>
          <w:sz w:val="24"/>
          <w:szCs w:val="24"/>
          <w:u w:val="single"/>
        </w:rPr>
        <w:t>:</w:t>
      </w:r>
      <w:r w:rsidR="00A026FA" w:rsidRPr="00940ADC">
        <w:rPr>
          <w:rFonts w:ascii="Times New Roman" w:hAnsi="Times New Roman" w:cs="Times New Roman"/>
          <w:sz w:val="24"/>
          <w:szCs w:val="24"/>
        </w:rPr>
        <w:t xml:space="preserve"> </w:t>
      </w:r>
      <w:r w:rsidR="007575F4" w:rsidRPr="00940ADC">
        <w:rPr>
          <w:rFonts w:ascii="Times New Roman" w:hAnsi="Times New Roman" w:cs="Times New Roman"/>
          <w:sz w:val="24"/>
          <w:szCs w:val="24"/>
        </w:rPr>
        <w:t>La consulta previa a los Centros Vecinales asociaciones, consorcios o grupos de vecinos, será obligatoria antes del emprendimiento de cualquier obra pública. El plazo para expedirse de los grupos o entidades enunciados será de 15 días a partir de su conocimiento del proyecto, plazo que podrá ampliarse cuando así lo requiere la naturaleza y complejidad del proyecto. Se excluye de esta disposición las obras que por razones se seguridad no admiten demora en su ejecución.</w:t>
      </w:r>
    </w:p>
    <w:p w:rsidR="00284B38" w:rsidRPr="00940ADC" w:rsidRDefault="007575F4"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ARTICULO VIGESIMO: El Departamento Ejecutivo deberá girar a la Comisión de Obras y Servicios Públicos del H.C.D., a los fines de tomar conocimiento y dar las pautas para la realización de las obras que sean solicitadas por los vecinos, conforme a las necesidades de sus sectores.</w:t>
      </w:r>
    </w:p>
    <w:p w:rsidR="0054729E" w:rsidRPr="00940ADC" w:rsidRDefault="007575F4" w:rsidP="00940ADC">
      <w:pPr>
        <w:keepNext/>
        <w:spacing w:after="120" w:line="240" w:lineRule="auto"/>
        <w:rPr>
          <w:rFonts w:ascii="Times New Roman" w:hAnsi="Times New Roman" w:cs="Times New Roman"/>
          <w:sz w:val="24"/>
          <w:szCs w:val="24"/>
        </w:rPr>
      </w:pPr>
      <w:r w:rsidRPr="00940ADC">
        <w:rPr>
          <w:rFonts w:ascii="Times New Roman" w:hAnsi="Times New Roman" w:cs="Times New Roman"/>
          <w:sz w:val="24"/>
          <w:szCs w:val="24"/>
        </w:rPr>
        <w:t>ARTICULO VIGESIMO PRIMERO:</w:t>
      </w:r>
      <w:bookmarkStart w:id="0" w:name="_GoBack"/>
      <w:bookmarkEnd w:id="0"/>
      <w:r w:rsidR="00660DB8" w:rsidRPr="00940ADC">
        <w:rPr>
          <w:rFonts w:ascii="Times New Roman" w:hAnsi="Times New Roman" w:cs="Times New Roman"/>
          <w:sz w:val="24"/>
          <w:szCs w:val="24"/>
        </w:rPr>
        <w:t>COMUNIQUESE, COPIESE Y ARCHIVESE.</w:t>
      </w:r>
      <w:r w:rsidR="00940ADC" w:rsidRPr="00940ADC">
        <w:rPr>
          <w:rFonts w:ascii="Times New Roman" w:hAnsi="Times New Roman" w:cs="Times New Roman"/>
          <w:sz w:val="24"/>
          <w:szCs w:val="24"/>
        </w:rPr>
        <w:t xml:space="preserve"> </w:t>
      </w:r>
    </w:p>
    <w:sectPr w:rsidR="0054729E" w:rsidRPr="00940ADC" w:rsidSect="005E2EEF">
      <w:footerReference w:type="default" r:id="rId8"/>
      <w:pgSz w:w="11906" w:h="16838"/>
      <w:pgMar w:top="1417" w:right="1701" w:bottom="1417" w:left="1701" w:header="709" w:footer="709" w:gutter="0"/>
      <w:pgNumType w:start="7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E3A5F" w:rsidRDefault="000E3A5F" w:rsidP="000E3A5F">
      <w:pPr>
        <w:spacing w:after="0" w:line="240" w:lineRule="auto"/>
      </w:pPr>
      <w:r>
        <w:separator/>
      </w:r>
    </w:p>
  </w:endnote>
  <w:endnote w:type="continuationSeparator" w:id="0">
    <w:p w:rsidR="000E3A5F" w:rsidRDefault="000E3A5F" w:rsidP="000E3A5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Emoji">
    <w:charset w:val="00"/>
    <w:family w:val="swiss"/>
    <w:pitch w:val="variable"/>
    <w:sig w:usb0="00000003" w:usb1="02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3A5F" w:rsidRPr="00314F51" w:rsidRDefault="000E3A5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E3A5F" w:rsidRDefault="000E3A5F" w:rsidP="000E3A5F">
      <w:pPr>
        <w:spacing w:after="0" w:line="240" w:lineRule="auto"/>
      </w:pPr>
      <w:r>
        <w:separator/>
      </w:r>
    </w:p>
  </w:footnote>
  <w:footnote w:type="continuationSeparator" w:id="0">
    <w:p w:rsidR="000E3A5F" w:rsidRDefault="000E3A5F" w:rsidP="000E3A5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06E81608"/>
    <w:multiLevelType w:val="hybridMultilevel"/>
    <w:tmpl w:val="C6400A48"/>
    <w:lvl w:ilvl="0" w:tplc="2C0A0017">
      <w:start w:val="1"/>
      <w:numFmt w:val="lowerLetter"/>
      <w:lvlText w:val="%1)"/>
      <w:lvlJc w:val="left"/>
      <w:pPr>
        <w:ind w:left="1485" w:hanging="360"/>
      </w:pPr>
    </w:lvl>
    <w:lvl w:ilvl="1" w:tplc="2C0A0019" w:tentative="1">
      <w:start w:val="1"/>
      <w:numFmt w:val="lowerLetter"/>
      <w:lvlText w:val="%2."/>
      <w:lvlJc w:val="left"/>
      <w:pPr>
        <w:ind w:left="2205" w:hanging="360"/>
      </w:pPr>
    </w:lvl>
    <w:lvl w:ilvl="2" w:tplc="2C0A001B" w:tentative="1">
      <w:start w:val="1"/>
      <w:numFmt w:val="lowerRoman"/>
      <w:lvlText w:val="%3."/>
      <w:lvlJc w:val="right"/>
      <w:pPr>
        <w:ind w:left="2925" w:hanging="180"/>
      </w:pPr>
    </w:lvl>
    <w:lvl w:ilvl="3" w:tplc="2C0A000F" w:tentative="1">
      <w:start w:val="1"/>
      <w:numFmt w:val="decimal"/>
      <w:lvlText w:val="%4."/>
      <w:lvlJc w:val="left"/>
      <w:pPr>
        <w:ind w:left="3645" w:hanging="360"/>
      </w:pPr>
    </w:lvl>
    <w:lvl w:ilvl="4" w:tplc="2C0A0019" w:tentative="1">
      <w:start w:val="1"/>
      <w:numFmt w:val="lowerLetter"/>
      <w:lvlText w:val="%5."/>
      <w:lvlJc w:val="left"/>
      <w:pPr>
        <w:ind w:left="4365" w:hanging="360"/>
      </w:pPr>
    </w:lvl>
    <w:lvl w:ilvl="5" w:tplc="2C0A001B" w:tentative="1">
      <w:start w:val="1"/>
      <w:numFmt w:val="lowerRoman"/>
      <w:lvlText w:val="%6."/>
      <w:lvlJc w:val="right"/>
      <w:pPr>
        <w:ind w:left="5085" w:hanging="180"/>
      </w:pPr>
    </w:lvl>
    <w:lvl w:ilvl="6" w:tplc="2C0A000F" w:tentative="1">
      <w:start w:val="1"/>
      <w:numFmt w:val="decimal"/>
      <w:lvlText w:val="%7."/>
      <w:lvlJc w:val="left"/>
      <w:pPr>
        <w:ind w:left="5805" w:hanging="360"/>
      </w:pPr>
    </w:lvl>
    <w:lvl w:ilvl="7" w:tplc="2C0A0019" w:tentative="1">
      <w:start w:val="1"/>
      <w:numFmt w:val="lowerLetter"/>
      <w:lvlText w:val="%8."/>
      <w:lvlJc w:val="left"/>
      <w:pPr>
        <w:ind w:left="6525" w:hanging="360"/>
      </w:pPr>
    </w:lvl>
    <w:lvl w:ilvl="8" w:tplc="2C0A001B" w:tentative="1">
      <w:start w:val="1"/>
      <w:numFmt w:val="lowerRoman"/>
      <w:lvlText w:val="%9."/>
      <w:lvlJc w:val="right"/>
      <w:pPr>
        <w:ind w:left="7245" w:hanging="180"/>
      </w:pPr>
    </w:lvl>
  </w:abstractNum>
  <w:abstractNum w:abstractNumId="2">
    <w:nsid w:val="09E54B79"/>
    <w:multiLevelType w:val="hybridMultilevel"/>
    <w:tmpl w:val="367EF13C"/>
    <w:lvl w:ilvl="0" w:tplc="2C0A0011">
      <w:start w:val="1"/>
      <w:numFmt w:val="decimal"/>
      <w:lvlText w:val="%1)"/>
      <w:lvlJc w:val="left"/>
      <w:pPr>
        <w:ind w:left="2148" w:hanging="360"/>
      </w:pPr>
    </w:lvl>
    <w:lvl w:ilvl="1" w:tplc="2C0A0019" w:tentative="1">
      <w:start w:val="1"/>
      <w:numFmt w:val="lowerLetter"/>
      <w:lvlText w:val="%2."/>
      <w:lvlJc w:val="left"/>
      <w:pPr>
        <w:ind w:left="2868" w:hanging="360"/>
      </w:pPr>
    </w:lvl>
    <w:lvl w:ilvl="2" w:tplc="2C0A001B" w:tentative="1">
      <w:start w:val="1"/>
      <w:numFmt w:val="lowerRoman"/>
      <w:lvlText w:val="%3."/>
      <w:lvlJc w:val="right"/>
      <w:pPr>
        <w:ind w:left="3588" w:hanging="180"/>
      </w:pPr>
    </w:lvl>
    <w:lvl w:ilvl="3" w:tplc="2C0A000F" w:tentative="1">
      <w:start w:val="1"/>
      <w:numFmt w:val="decimal"/>
      <w:lvlText w:val="%4."/>
      <w:lvlJc w:val="left"/>
      <w:pPr>
        <w:ind w:left="4308" w:hanging="360"/>
      </w:pPr>
    </w:lvl>
    <w:lvl w:ilvl="4" w:tplc="2C0A0019" w:tentative="1">
      <w:start w:val="1"/>
      <w:numFmt w:val="lowerLetter"/>
      <w:lvlText w:val="%5."/>
      <w:lvlJc w:val="left"/>
      <w:pPr>
        <w:ind w:left="5028" w:hanging="360"/>
      </w:pPr>
    </w:lvl>
    <w:lvl w:ilvl="5" w:tplc="2C0A001B" w:tentative="1">
      <w:start w:val="1"/>
      <w:numFmt w:val="lowerRoman"/>
      <w:lvlText w:val="%6."/>
      <w:lvlJc w:val="right"/>
      <w:pPr>
        <w:ind w:left="5748" w:hanging="180"/>
      </w:pPr>
    </w:lvl>
    <w:lvl w:ilvl="6" w:tplc="2C0A000F" w:tentative="1">
      <w:start w:val="1"/>
      <w:numFmt w:val="decimal"/>
      <w:lvlText w:val="%7."/>
      <w:lvlJc w:val="left"/>
      <w:pPr>
        <w:ind w:left="6468" w:hanging="360"/>
      </w:pPr>
    </w:lvl>
    <w:lvl w:ilvl="7" w:tplc="2C0A0019" w:tentative="1">
      <w:start w:val="1"/>
      <w:numFmt w:val="lowerLetter"/>
      <w:lvlText w:val="%8."/>
      <w:lvlJc w:val="left"/>
      <w:pPr>
        <w:ind w:left="7188" w:hanging="360"/>
      </w:pPr>
    </w:lvl>
    <w:lvl w:ilvl="8" w:tplc="2C0A001B" w:tentative="1">
      <w:start w:val="1"/>
      <w:numFmt w:val="lowerRoman"/>
      <w:lvlText w:val="%9."/>
      <w:lvlJc w:val="right"/>
      <w:pPr>
        <w:ind w:left="7908" w:hanging="180"/>
      </w:pPr>
    </w:lvl>
  </w:abstractNum>
  <w:abstractNum w:abstractNumId="3">
    <w:nsid w:val="10D60DCF"/>
    <w:multiLevelType w:val="hybridMultilevel"/>
    <w:tmpl w:val="DE6EA9AE"/>
    <w:lvl w:ilvl="0" w:tplc="2C0A0011">
      <w:start w:val="1"/>
      <w:numFmt w:val="decimal"/>
      <w:lvlText w:val="%1)"/>
      <w:lvlJc w:val="left"/>
      <w:pPr>
        <w:ind w:left="2145" w:hanging="360"/>
      </w:pPr>
    </w:lvl>
    <w:lvl w:ilvl="1" w:tplc="2C0A0019" w:tentative="1">
      <w:start w:val="1"/>
      <w:numFmt w:val="lowerLetter"/>
      <w:lvlText w:val="%2."/>
      <w:lvlJc w:val="left"/>
      <w:pPr>
        <w:ind w:left="2865" w:hanging="360"/>
      </w:pPr>
    </w:lvl>
    <w:lvl w:ilvl="2" w:tplc="2C0A001B" w:tentative="1">
      <w:start w:val="1"/>
      <w:numFmt w:val="lowerRoman"/>
      <w:lvlText w:val="%3."/>
      <w:lvlJc w:val="right"/>
      <w:pPr>
        <w:ind w:left="3585" w:hanging="180"/>
      </w:pPr>
    </w:lvl>
    <w:lvl w:ilvl="3" w:tplc="2C0A000F" w:tentative="1">
      <w:start w:val="1"/>
      <w:numFmt w:val="decimal"/>
      <w:lvlText w:val="%4."/>
      <w:lvlJc w:val="left"/>
      <w:pPr>
        <w:ind w:left="4305" w:hanging="360"/>
      </w:pPr>
    </w:lvl>
    <w:lvl w:ilvl="4" w:tplc="2C0A0019" w:tentative="1">
      <w:start w:val="1"/>
      <w:numFmt w:val="lowerLetter"/>
      <w:lvlText w:val="%5."/>
      <w:lvlJc w:val="left"/>
      <w:pPr>
        <w:ind w:left="5025" w:hanging="360"/>
      </w:pPr>
    </w:lvl>
    <w:lvl w:ilvl="5" w:tplc="2C0A001B" w:tentative="1">
      <w:start w:val="1"/>
      <w:numFmt w:val="lowerRoman"/>
      <w:lvlText w:val="%6."/>
      <w:lvlJc w:val="right"/>
      <w:pPr>
        <w:ind w:left="5745" w:hanging="180"/>
      </w:pPr>
    </w:lvl>
    <w:lvl w:ilvl="6" w:tplc="2C0A000F" w:tentative="1">
      <w:start w:val="1"/>
      <w:numFmt w:val="decimal"/>
      <w:lvlText w:val="%7."/>
      <w:lvlJc w:val="left"/>
      <w:pPr>
        <w:ind w:left="6465" w:hanging="360"/>
      </w:pPr>
    </w:lvl>
    <w:lvl w:ilvl="7" w:tplc="2C0A0019" w:tentative="1">
      <w:start w:val="1"/>
      <w:numFmt w:val="lowerLetter"/>
      <w:lvlText w:val="%8."/>
      <w:lvlJc w:val="left"/>
      <w:pPr>
        <w:ind w:left="7185" w:hanging="360"/>
      </w:pPr>
    </w:lvl>
    <w:lvl w:ilvl="8" w:tplc="2C0A001B" w:tentative="1">
      <w:start w:val="1"/>
      <w:numFmt w:val="lowerRoman"/>
      <w:lvlText w:val="%9."/>
      <w:lvlJc w:val="right"/>
      <w:pPr>
        <w:ind w:left="7905" w:hanging="180"/>
      </w:pPr>
    </w:lvl>
  </w:abstractNum>
  <w:abstractNum w:abstractNumId="4">
    <w:nsid w:val="14146628"/>
    <w:multiLevelType w:val="hybridMultilevel"/>
    <w:tmpl w:val="9AE00CDE"/>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5">
    <w:nsid w:val="1F9715E4"/>
    <w:multiLevelType w:val="hybridMultilevel"/>
    <w:tmpl w:val="F5648708"/>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6">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8">
    <w:nsid w:val="272A2EAF"/>
    <w:multiLevelType w:val="hybridMultilevel"/>
    <w:tmpl w:val="6308C9BE"/>
    <w:lvl w:ilvl="0" w:tplc="0C0A0011">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9">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nsid w:val="44F53090"/>
    <w:multiLevelType w:val="hybridMultilevel"/>
    <w:tmpl w:val="7D4C6660"/>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1">
    <w:nsid w:val="48CA3E38"/>
    <w:multiLevelType w:val="hybridMultilevel"/>
    <w:tmpl w:val="439C2F60"/>
    <w:lvl w:ilvl="0" w:tplc="2C0A0017">
      <w:start w:val="1"/>
      <w:numFmt w:val="lowerLetter"/>
      <w:lvlText w:val="%1)"/>
      <w:lvlJc w:val="left"/>
      <w:pPr>
        <w:ind w:left="1425" w:hanging="360"/>
      </w:pPr>
    </w:lvl>
    <w:lvl w:ilvl="1" w:tplc="2C0A0019" w:tentative="1">
      <w:start w:val="1"/>
      <w:numFmt w:val="lowerLetter"/>
      <w:lvlText w:val="%2."/>
      <w:lvlJc w:val="left"/>
      <w:pPr>
        <w:ind w:left="2145" w:hanging="360"/>
      </w:pPr>
    </w:lvl>
    <w:lvl w:ilvl="2" w:tplc="2C0A001B" w:tentative="1">
      <w:start w:val="1"/>
      <w:numFmt w:val="lowerRoman"/>
      <w:lvlText w:val="%3."/>
      <w:lvlJc w:val="right"/>
      <w:pPr>
        <w:ind w:left="2865" w:hanging="180"/>
      </w:pPr>
    </w:lvl>
    <w:lvl w:ilvl="3" w:tplc="2C0A000F" w:tentative="1">
      <w:start w:val="1"/>
      <w:numFmt w:val="decimal"/>
      <w:lvlText w:val="%4."/>
      <w:lvlJc w:val="left"/>
      <w:pPr>
        <w:ind w:left="3585" w:hanging="360"/>
      </w:pPr>
    </w:lvl>
    <w:lvl w:ilvl="4" w:tplc="2C0A0019" w:tentative="1">
      <w:start w:val="1"/>
      <w:numFmt w:val="lowerLetter"/>
      <w:lvlText w:val="%5."/>
      <w:lvlJc w:val="left"/>
      <w:pPr>
        <w:ind w:left="4305" w:hanging="360"/>
      </w:pPr>
    </w:lvl>
    <w:lvl w:ilvl="5" w:tplc="2C0A001B" w:tentative="1">
      <w:start w:val="1"/>
      <w:numFmt w:val="lowerRoman"/>
      <w:lvlText w:val="%6."/>
      <w:lvlJc w:val="right"/>
      <w:pPr>
        <w:ind w:left="5025" w:hanging="180"/>
      </w:pPr>
    </w:lvl>
    <w:lvl w:ilvl="6" w:tplc="2C0A000F" w:tentative="1">
      <w:start w:val="1"/>
      <w:numFmt w:val="decimal"/>
      <w:lvlText w:val="%7."/>
      <w:lvlJc w:val="left"/>
      <w:pPr>
        <w:ind w:left="5745" w:hanging="360"/>
      </w:pPr>
    </w:lvl>
    <w:lvl w:ilvl="7" w:tplc="2C0A0019" w:tentative="1">
      <w:start w:val="1"/>
      <w:numFmt w:val="lowerLetter"/>
      <w:lvlText w:val="%8."/>
      <w:lvlJc w:val="left"/>
      <w:pPr>
        <w:ind w:left="6465" w:hanging="360"/>
      </w:pPr>
    </w:lvl>
    <w:lvl w:ilvl="8" w:tplc="2C0A001B" w:tentative="1">
      <w:start w:val="1"/>
      <w:numFmt w:val="lowerRoman"/>
      <w:lvlText w:val="%9."/>
      <w:lvlJc w:val="right"/>
      <w:pPr>
        <w:ind w:left="7185" w:hanging="180"/>
      </w:pPr>
    </w:lvl>
  </w:abstractNum>
  <w:abstractNum w:abstractNumId="12">
    <w:nsid w:val="5A891336"/>
    <w:multiLevelType w:val="hybridMultilevel"/>
    <w:tmpl w:val="46D83868"/>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nsid w:val="7A1D0D02"/>
    <w:multiLevelType w:val="hybridMultilevel"/>
    <w:tmpl w:val="896EC58C"/>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7"/>
  </w:num>
  <w:num w:numId="2">
    <w:abstractNumId w:val="6"/>
  </w:num>
  <w:num w:numId="3">
    <w:abstractNumId w:val="0"/>
  </w:num>
  <w:num w:numId="4">
    <w:abstractNumId w:val="9"/>
  </w:num>
  <w:num w:numId="5">
    <w:abstractNumId w:val="8"/>
  </w:num>
  <w:num w:numId="6">
    <w:abstractNumId w:val="12"/>
  </w:num>
  <w:num w:numId="7">
    <w:abstractNumId w:val="10"/>
  </w:num>
  <w:num w:numId="8">
    <w:abstractNumId w:val="11"/>
  </w:num>
  <w:num w:numId="9">
    <w:abstractNumId w:val="1"/>
  </w:num>
  <w:num w:numId="10">
    <w:abstractNumId w:val="5"/>
  </w:num>
  <w:num w:numId="11">
    <w:abstractNumId w:val="3"/>
  </w:num>
  <w:num w:numId="12">
    <w:abstractNumId w:val="13"/>
  </w:num>
  <w:num w:numId="13">
    <w:abstractNumId w:val="2"/>
  </w:num>
  <w:num w:numId="14">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05588"/>
    <w:rsid w:val="00031789"/>
    <w:rsid w:val="000538D7"/>
    <w:rsid w:val="00076C51"/>
    <w:rsid w:val="00081675"/>
    <w:rsid w:val="000831D4"/>
    <w:rsid w:val="00084E24"/>
    <w:rsid w:val="000A041A"/>
    <w:rsid w:val="000A142D"/>
    <w:rsid w:val="000A365A"/>
    <w:rsid w:val="000C41ED"/>
    <w:rsid w:val="000D368F"/>
    <w:rsid w:val="000E3A5F"/>
    <w:rsid w:val="0017500D"/>
    <w:rsid w:val="00184185"/>
    <w:rsid w:val="001F6DC8"/>
    <w:rsid w:val="002052B1"/>
    <w:rsid w:val="002157FA"/>
    <w:rsid w:val="002730B9"/>
    <w:rsid w:val="00281999"/>
    <w:rsid w:val="00284B38"/>
    <w:rsid w:val="002A6BAE"/>
    <w:rsid w:val="002C36A6"/>
    <w:rsid w:val="002C7245"/>
    <w:rsid w:val="002D0AFE"/>
    <w:rsid w:val="00305438"/>
    <w:rsid w:val="00312D4A"/>
    <w:rsid w:val="00313F47"/>
    <w:rsid w:val="00314F51"/>
    <w:rsid w:val="00315B94"/>
    <w:rsid w:val="003D6E1C"/>
    <w:rsid w:val="003F4371"/>
    <w:rsid w:val="003F6D82"/>
    <w:rsid w:val="00404A66"/>
    <w:rsid w:val="0041286A"/>
    <w:rsid w:val="0046257A"/>
    <w:rsid w:val="00465CF5"/>
    <w:rsid w:val="0047234E"/>
    <w:rsid w:val="004929EF"/>
    <w:rsid w:val="004A3CBD"/>
    <w:rsid w:val="004D02EC"/>
    <w:rsid w:val="004D11B4"/>
    <w:rsid w:val="004F2B24"/>
    <w:rsid w:val="00530D7F"/>
    <w:rsid w:val="0054729E"/>
    <w:rsid w:val="00581FB6"/>
    <w:rsid w:val="005B175D"/>
    <w:rsid w:val="005B1863"/>
    <w:rsid w:val="005C0E57"/>
    <w:rsid w:val="005C35F9"/>
    <w:rsid w:val="005E2EEF"/>
    <w:rsid w:val="005E508E"/>
    <w:rsid w:val="006045D2"/>
    <w:rsid w:val="0061141E"/>
    <w:rsid w:val="00625207"/>
    <w:rsid w:val="00642770"/>
    <w:rsid w:val="00660DB8"/>
    <w:rsid w:val="00692F83"/>
    <w:rsid w:val="00701A2C"/>
    <w:rsid w:val="00705C8A"/>
    <w:rsid w:val="00706B32"/>
    <w:rsid w:val="0071778F"/>
    <w:rsid w:val="0073064C"/>
    <w:rsid w:val="0073752F"/>
    <w:rsid w:val="00745A79"/>
    <w:rsid w:val="007575F4"/>
    <w:rsid w:val="00783B39"/>
    <w:rsid w:val="0078623A"/>
    <w:rsid w:val="007C7D1F"/>
    <w:rsid w:val="007E51E8"/>
    <w:rsid w:val="0080738D"/>
    <w:rsid w:val="008259DB"/>
    <w:rsid w:val="0084053D"/>
    <w:rsid w:val="00841ABC"/>
    <w:rsid w:val="00845E75"/>
    <w:rsid w:val="00856CAA"/>
    <w:rsid w:val="008E469C"/>
    <w:rsid w:val="00900188"/>
    <w:rsid w:val="0090799B"/>
    <w:rsid w:val="009100D9"/>
    <w:rsid w:val="009207A2"/>
    <w:rsid w:val="00940ADC"/>
    <w:rsid w:val="00953337"/>
    <w:rsid w:val="00A026FA"/>
    <w:rsid w:val="00A057EB"/>
    <w:rsid w:val="00A14312"/>
    <w:rsid w:val="00A63081"/>
    <w:rsid w:val="00A75011"/>
    <w:rsid w:val="00A86D23"/>
    <w:rsid w:val="00AD0887"/>
    <w:rsid w:val="00AE7D49"/>
    <w:rsid w:val="00B01DC9"/>
    <w:rsid w:val="00B362BC"/>
    <w:rsid w:val="00B37020"/>
    <w:rsid w:val="00B5755E"/>
    <w:rsid w:val="00B61989"/>
    <w:rsid w:val="00B716A4"/>
    <w:rsid w:val="00B96ECD"/>
    <w:rsid w:val="00BC0BC0"/>
    <w:rsid w:val="00BF272E"/>
    <w:rsid w:val="00C3356C"/>
    <w:rsid w:val="00C70300"/>
    <w:rsid w:val="00C80817"/>
    <w:rsid w:val="00C936F9"/>
    <w:rsid w:val="00CA4882"/>
    <w:rsid w:val="00CE45DF"/>
    <w:rsid w:val="00D56313"/>
    <w:rsid w:val="00D61863"/>
    <w:rsid w:val="00D76C80"/>
    <w:rsid w:val="00DA1A18"/>
    <w:rsid w:val="00DC4C94"/>
    <w:rsid w:val="00DE65C9"/>
    <w:rsid w:val="00E0728B"/>
    <w:rsid w:val="00E13004"/>
    <w:rsid w:val="00E84F86"/>
    <w:rsid w:val="00EB1BEE"/>
    <w:rsid w:val="00ED1BF5"/>
    <w:rsid w:val="00EF451D"/>
    <w:rsid w:val="00F30538"/>
    <w:rsid w:val="00F36BBE"/>
    <w:rsid w:val="00F3704C"/>
    <w:rsid w:val="00F46AEB"/>
    <w:rsid w:val="00F508AE"/>
    <w:rsid w:val="00F53F7E"/>
    <w:rsid w:val="00F56171"/>
    <w:rsid w:val="00F80444"/>
    <w:rsid w:val="00FA515D"/>
    <w:rsid w:val="00FB7FA4"/>
    <w:rsid w:val="00FD1436"/>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0E3A5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E3A5F"/>
  </w:style>
  <w:style w:type="paragraph" w:styleId="Piedepgina">
    <w:name w:val="footer"/>
    <w:basedOn w:val="Normal"/>
    <w:link w:val="PiedepginaCar"/>
    <w:uiPriority w:val="99"/>
    <w:semiHidden/>
    <w:unhideWhenUsed/>
    <w:rsid w:val="000E3A5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E3A5F"/>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5EEABDD-818A-4FA9-B54D-A5D32BC08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2380</Words>
  <Characters>13094</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15444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28</cp:revision>
  <cp:lastPrinted>2018-04-26T14:53:00Z</cp:lastPrinted>
  <dcterms:created xsi:type="dcterms:W3CDTF">2017-03-20T22:16:00Z</dcterms:created>
  <dcterms:modified xsi:type="dcterms:W3CDTF">2018-04-26T14:53:00Z</dcterms:modified>
</cp:coreProperties>
</file>