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AD9" w:rsidRPr="00272AD9" w:rsidRDefault="00272AD9" w:rsidP="00272AD9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sz w:val="24"/>
        </w:rPr>
        <w:t>Yerba Buena, 02 de Diciembre de 1998</w:t>
      </w:r>
    </w:p>
    <w:p w:rsidR="00272AD9" w:rsidRPr="00272AD9" w:rsidRDefault="00272AD9" w:rsidP="00272AD9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272AD9">
        <w:rPr>
          <w:rFonts w:ascii="Times New Roman" w:hAnsi="Times New Roman"/>
          <w:b/>
          <w:sz w:val="24"/>
        </w:rPr>
        <w:t>ORDENANZA Nº 962</w:t>
      </w:r>
    </w:p>
    <w:p w:rsidR="002D575E" w:rsidRPr="00272AD9" w:rsidRDefault="00272AD9" w:rsidP="00272AD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272AD9">
        <w:rPr>
          <w:rFonts w:ascii="Times New Roman" w:hAnsi="Times New Roman"/>
          <w:sz w:val="24"/>
        </w:rPr>
        <w:t>:</w:t>
      </w:r>
    </w:p>
    <w:p w:rsidR="00D02480" w:rsidRPr="00272AD9" w:rsidRDefault="004B1B2C" w:rsidP="00272AD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sz w:val="24"/>
          <w:u w:val="single"/>
        </w:rPr>
        <w:t>ARTICULO PRIMERO</w:t>
      </w:r>
      <w:r w:rsidR="007966E6" w:rsidRPr="00272AD9">
        <w:rPr>
          <w:rFonts w:ascii="Times New Roman" w:hAnsi="Times New Roman"/>
          <w:sz w:val="24"/>
          <w:u w:val="single"/>
        </w:rPr>
        <w:t>: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DF7CDF" w:rsidRPr="00272AD9">
        <w:rPr>
          <w:rFonts w:ascii="Times New Roman" w:hAnsi="Times New Roman"/>
          <w:sz w:val="24"/>
        </w:rPr>
        <w:t>MODIFICASE el Articulo Decimo Primero de la Ordenanza 956/98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272AD9">
        <w:rPr>
          <w:rFonts w:ascii="Times New Roman" w:hAnsi="Times New Roman"/>
          <w:sz w:val="24"/>
        </w:rPr>
        <w:t xml:space="preserve"> (</w:t>
      </w:r>
      <w:r w:rsidR="00DF7CDF" w:rsidRPr="00272AD9">
        <w:rPr>
          <w:rFonts w:ascii="Times New Roman" w:hAnsi="Times New Roman"/>
          <w:sz w:val="24"/>
        </w:rPr>
        <w:t>Régimen de Regularización Tributaria</w:t>
      </w:r>
      <w:r w:rsidR="00272AD9">
        <w:rPr>
          <w:rFonts w:ascii="Times New Roman" w:hAnsi="Times New Roman"/>
          <w:sz w:val="24"/>
        </w:rPr>
        <w:t xml:space="preserve">) , </w:t>
      </w:r>
      <w:r w:rsidR="00DF7CDF" w:rsidRPr="00272AD9">
        <w:rPr>
          <w:rFonts w:ascii="Times New Roman" w:hAnsi="Times New Roman"/>
          <w:sz w:val="24"/>
        </w:rPr>
        <w:t xml:space="preserve"> el que quedará redactado de la siguiente manera:</w:t>
      </w:r>
    </w:p>
    <w:p w:rsidR="00DF7CDF" w:rsidRPr="00272AD9" w:rsidRDefault="00DF7CDF" w:rsidP="00272AD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sz w:val="24"/>
        </w:rPr>
        <w:t>Artículo Décimo Primero: Los Contribuyentes que acrediten ante la autoridad de aplicación tener ingresados los importes correspondiente al periodo 1.993 – 1.998 al momento de la promulgación de la presente Ordenanza, gozarán de una bonificación del cien por ciento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272AD9">
        <w:rPr>
          <w:rFonts w:ascii="Times New Roman" w:hAnsi="Times New Roman"/>
          <w:sz w:val="24"/>
        </w:rPr>
        <w:t xml:space="preserve"> (</w:t>
      </w:r>
      <w:r w:rsidRPr="00272AD9">
        <w:rPr>
          <w:rFonts w:ascii="Times New Roman" w:hAnsi="Times New Roman"/>
          <w:sz w:val="24"/>
        </w:rPr>
        <w:t>100%</w:t>
      </w:r>
      <w:r w:rsidR="00272AD9">
        <w:rPr>
          <w:rFonts w:ascii="Times New Roman" w:hAnsi="Times New Roman"/>
          <w:sz w:val="24"/>
        </w:rPr>
        <w:t xml:space="preserve">) 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Pr="00272AD9">
        <w:rPr>
          <w:rFonts w:ascii="Times New Roman" w:hAnsi="Times New Roman"/>
          <w:sz w:val="24"/>
        </w:rPr>
        <w:t>sobre los tributos y contribuciones correspondientes al período fiscal 1.999, en los conceptos correspondientes a inmuebles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272AD9">
        <w:rPr>
          <w:rFonts w:ascii="Times New Roman" w:hAnsi="Times New Roman"/>
          <w:sz w:val="24"/>
        </w:rPr>
        <w:t xml:space="preserve"> (</w:t>
      </w:r>
      <w:r w:rsidRPr="00272AD9">
        <w:rPr>
          <w:rFonts w:ascii="Times New Roman" w:hAnsi="Times New Roman"/>
          <w:sz w:val="24"/>
        </w:rPr>
        <w:t>C.I.S.I</w:t>
      </w:r>
      <w:r w:rsidR="00272AD9">
        <w:rPr>
          <w:rFonts w:ascii="Times New Roman" w:hAnsi="Times New Roman"/>
          <w:sz w:val="24"/>
        </w:rPr>
        <w:t xml:space="preserve">) 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Pr="00272AD9">
        <w:rPr>
          <w:rFonts w:ascii="Times New Roman" w:hAnsi="Times New Roman"/>
          <w:sz w:val="24"/>
        </w:rPr>
        <w:t>y cementerios.</w:t>
      </w:r>
    </w:p>
    <w:p w:rsidR="00DF7CDF" w:rsidRPr="00272AD9" w:rsidRDefault="004B1B2C" w:rsidP="00272AD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sz w:val="24"/>
          <w:u w:val="single"/>
        </w:rPr>
        <w:t>ARTICULO SEGUNDO</w:t>
      </w:r>
      <w:r w:rsidR="007966E6" w:rsidRPr="00272AD9">
        <w:rPr>
          <w:rFonts w:ascii="Times New Roman" w:hAnsi="Times New Roman"/>
          <w:sz w:val="24"/>
          <w:u w:val="single"/>
        </w:rPr>
        <w:t>: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DF7CDF" w:rsidRPr="00272AD9">
        <w:rPr>
          <w:rFonts w:ascii="Times New Roman" w:hAnsi="Times New Roman"/>
          <w:sz w:val="24"/>
        </w:rPr>
        <w:t>MODIFICASE el Artículo Sexto de la ordenanza 956/98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272AD9">
        <w:rPr>
          <w:rFonts w:ascii="Times New Roman" w:hAnsi="Times New Roman"/>
          <w:sz w:val="24"/>
        </w:rPr>
        <w:t xml:space="preserve"> (</w:t>
      </w:r>
      <w:r w:rsidR="00DF7CDF" w:rsidRPr="00272AD9">
        <w:rPr>
          <w:rFonts w:ascii="Times New Roman" w:hAnsi="Times New Roman"/>
          <w:sz w:val="24"/>
        </w:rPr>
        <w:t>Régimen de Regularización Tributaria, el que quedará redactado de la siguiente manera:</w:t>
      </w:r>
    </w:p>
    <w:p w:rsidR="00DF7CDF" w:rsidRPr="00272AD9" w:rsidRDefault="00DF7CDF" w:rsidP="00272AD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sz w:val="24"/>
        </w:rPr>
        <w:t>Artículo Sexto: El total de la deuda podrá abonarse:</w:t>
      </w:r>
    </w:p>
    <w:p w:rsidR="00272AD9" w:rsidRDefault="00DF7CDF" w:rsidP="00272AD9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sz w:val="24"/>
        </w:rPr>
        <w:t>En efectivo, bonos de cancelación de deudas Ley 5.728, cheques diferidos emitidos por entidades gubernamentales, hasta un cien por ciento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272AD9">
        <w:rPr>
          <w:rFonts w:ascii="Times New Roman" w:hAnsi="Times New Roman"/>
          <w:sz w:val="24"/>
        </w:rPr>
        <w:t xml:space="preserve"> (</w:t>
      </w:r>
      <w:r w:rsidRPr="00272AD9">
        <w:rPr>
          <w:rFonts w:ascii="Times New Roman" w:hAnsi="Times New Roman"/>
          <w:sz w:val="24"/>
        </w:rPr>
        <w:t>100%</w:t>
      </w:r>
      <w:r w:rsidR="00272AD9">
        <w:rPr>
          <w:rFonts w:ascii="Times New Roman" w:hAnsi="Times New Roman"/>
          <w:sz w:val="24"/>
        </w:rPr>
        <w:t xml:space="preserve">) </w:t>
      </w:r>
    </w:p>
    <w:p w:rsidR="00DF7CDF" w:rsidRPr="00272AD9" w:rsidRDefault="00DF7CDF" w:rsidP="00272AD9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sz w:val="24"/>
        </w:rPr>
        <w:t>Bono Municipal de la Provincia de Tucumán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272AD9">
        <w:rPr>
          <w:rFonts w:ascii="Times New Roman" w:hAnsi="Times New Roman"/>
          <w:sz w:val="24"/>
        </w:rPr>
        <w:t xml:space="preserve"> (</w:t>
      </w:r>
      <w:r w:rsidRPr="00272AD9">
        <w:rPr>
          <w:rFonts w:ascii="Times New Roman" w:hAnsi="Times New Roman"/>
          <w:sz w:val="24"/>
        </w:rPr>
        <w:t>Ley 6.824</w:t>
      </w:r>
      <w:r w:rsidR="00272AD9">
        <w:rPr>
          <w:rFonts w:ascii="Times New Roman" w:hAnsi="Times New Roman"/>
          <w:sz w:val="24"/>
        </w:rPr>
        <w:t xml:space="preserve">) , </w:t>
      </w:r>
      <w:r w:rsidRPr="00272AD9">
        <w:rPr>
          <w:rFonts w:ascii="Times New Roman" w:hAnsi="Times New Roman"/>
          <w:sz w:val="24"/>
        </w:rPr>
        <w:t xml:space="preserve"> hasta en un veinte por ciento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272AD9">
        <w:rPr>
          <w:rFonts w:ascii="Times New Roman" w:hAnsi="Times New Roman"/>
          <w:sz w:val="24"/>
        </w:rPr>
        <w:t xml:space="preserve"> (</w:t>
      </w:r>
      <w:r w:rsidRPr="00272AD9">
        <w:rPr>
          <w:rFonts w:ascii="Times New Roman" w:hAnsi="Times New Roman"/>
          <w:sz w:val="24"/>
        </w:rPr>
        <w:t>20%</w:t>
      </w:r>
      <w:r w:rsidR="00272AD9">
        <w:rPr>
          <w:rFonts w:ascii="Times New Roman" w:hAnsi="Times New Roman"/>
          <w:sz w:val="24"/>
        </w:rPr>
        <w:t xml:space="preserve">) 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Pr="00272AD9">
        <w:rPr>
          <w:rFonts w:ascii="Times New Roman" w:hAnsi="Times New Roman"/>
          <w:sz w:val="24"/>
        </w:rPr>
        <w:t>excepto para los agentes municipales que lo hayan recepcionado en forma directa, en hasta un cien por ciento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272AD9">
        <w:rPr>
          <w:rFonts w:ascii="Times New Roman" w:hAnsi="Times New Roman"/>
          <w:sz w:val="24"/>
        </w:rPr>
        <w:t xml:space="preserve"> (</w:t>
      </w:r>
      <w:r w:rsidRPr="00272AD9">
        <w:rPr>
          <w:rFonts w:ascii="Times New Roman" w:hAnsi="Times New Roman"/>
          <w:sz w:val="24"/>
        </w:rPr>
        <w:t>100%</w:t>
      </w:r>
      <w:r w:rsidR="00272AD9">
        <w:rPr>
          <w:rFonts w:ascii="Times New Roman" w:hAnsi="Times New Roman"/>
          <w:sz w:val="24"/>
        </w:rPr>
        <w:t xml:space="preserve">) 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Pr="00272AD9">
        <w:rPr>
          <w:rFonts w:ascii="Times New Roman" w:hAnsi="Times New Roman"/>
          <w:sz w:val="24"/>
        </w:rPr>
        <w:t>del total.</w:t>
      </w:r>
    </w:p>
    <w:p w:rsidR="006F2884" w:rsidRPr="00272AD9" w:rsidRDefault="004B1B2C" w:rsidP="00272AD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72AD9">
        <w:rPr>
          <w:rFonts w:ascii="Times New Roman" w:hAnsi="Times New Roman"/>
          <w:sz w:val="24"/>
          <w:u w:val="single"/>
        </w:rPr>
        <w:t>ARTICULO TERCERO</w:t>
      </w:r>
      <w:r w:rsidR="007966E6" w:rsidRPr="00272AD9">
        <w:rPr>
          <w:rFonts w:ascii="Times New Roman" w:hAnsi="Times New Roman"/>
          <w:sz w:val="24"/>
          <w:u w:val="single"/>
        </w:rPr>
        <w:t>:</w:t>
      </w:r>
      <w:r w:rsidR="007966E6" w:rsidRPr="00272AD9">
        <w:rPr>
          <w:rFonts w:ascii="Times New Roman" w:hAnsi="Times New Roman"/>
          <w:sz w:val="24"/>
        </w:rPr>
        <w:t xml:space="preserve"> </w:t>
      </w:r>
      <w:r w:rsidR="003E657F" w:rsidRPr="00272AD9">
        <w:rPr>
          <w:rFonts w:ascii="Times New Roman" w:hAnsi="Times New Roman"/>
          <w:sz w:val="24"/>
        </w:rPr>
        <w:t>COMUNÍQUESE, CÓPIESE y ARCHÍVESE.</w:t>
      </w:r>
      <w:r w:rsidR="00272AD9" w:rsidRPr="00272AD9">
        <w:rPr>
          <w:rFonts w:ascii="Times New Roman" w:hAnsi="Times New Roman"/>
          <w:sz w:val="24"/>
        </w:rPr>
        <w:t xml:space="preserve"> </w:t>
      </w:r>
    </w:p>
    <w:sectPr w:rsidR="006F2884" w:rsidRPr="00272AD9" w:rsidSect="00214637">
      <w:footerReference w:type="default" r:id="rId7"/>
      <w:pgSz w:w="11906" w:h="16838"/>
      <w:pgMar w:top="1417" w:right="1701" w:bottom="1417" w:left="1701" w:header="709" w:footer="709" w:gutter="0"/>
      <w:pgNumType w:start="9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637" w:rsidRDefault="00214637" w:rsidP="00214637">
      <w:pPr>
        <w:spacing w:after="0" w:line="240" w:lineRule="auto"/>
      </w:pPr>
      <w:r>
        <w:separator/>
      </w:r>
    </w:p>
  </w:endnote>
  <w:endnote w:type="continuationSeparator" w:id="0">
    <w:p w:rsidR="00214637" w:rsidRDefault="00214637" w:rsidP="0021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637" w:rsidRPr="004F1012" w:rsidRDefault="0021463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637" w:rsidRDefault="00214637" w:rsidP="00214637">
      <w:pPr>
        <w:spacing w:after="0" w:line="240" w:lineRule="auto"/>
      </w:pPr>
      <w:r>
        <w:separator/>
      </w:r>
    </w:p>
  </w:footnote>
  <w:footnote w:type="continuationSeparator" w:id="0">
    <w:p w:rsidR="00214637" w:rsidRDefault="00214637" w:rsidP="00214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92488A"/>
    <w:multiLevelType w:val="hybridMultilevel"/>
    <w:tmpl w:val="CEF2B31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6FFF"/>
    <w:rsid w:val="00011048"/>
    <w:rsid w:val="000776C1"/>
    <w:rsid w:val="000D6F58"/>
    <w:rsid w:val="00100F85"/>
    <w:rsid w:val="00161BF9"/>
    <w:rsid w:val="0016314B"/>
    <w:rsid w:val="00214637"/>
    <w:rsid w:val="00222916"/>
    <w:rsid w:val="00272AD9"/>
    <w:rsid w:val="002A6FFF"/>
    <w:rsid w:val="002D575E"/>
    <w:rsid w:val="00364BB7"/>
    <w:rsid w:val="003A4E87"/>
    <w:rsid w:val="003B5ADB"/>
    <w:rsid w:val="003E657F"/>
    <w:rsid w:val="00422F7E"/>
    <w:rsid w:val="004B1B2C"/>
    <w:rsid w:val="004F1012"/>
    <w:rsid w:val="005256A3"/>
    <w:rsid w:val="00545183"/>
    <w:rsid w:val="00546075"/>
    <w:rsid w:val="005607AC"/>
    <w:rsid w:val="005952EA"/>
    <w:rsid w:val="005B5BEE"/>
    <w:rsid w:val="005C2517"/>
    <w:rsid w:val="005D7260"/>
    <w:rsid w:val="00657299"/>
    <w:rsid w:val="00673B31"/>
    <w:rsid w:val="00690556"/>
    <w:rsid w:val="006F2884"/>
    <w:rsid w:val="007567B6"/>
    <w:rsid w:val="007848BC"/>
    <w:rsid w:val="00791024"/>
    <w:rsid w:val="007966E6"/>
    <w:rsid w:val="007A7FAC"/>
    <w:rsid w:val="007B73E1"/>
    <w:rsid w:val="007E6ABD"/>
    <w:rsid w:val="007F1AB9"/>
    <w:rsid w:val="008A0A09"/>
    <w:rsid w:val="009D7EB1"/>
    <w:rsid w:val="00A51F2D"/>
    <w:rsid w:val="00A703B2"/>
    <w:rsid w:val="00AF627F"/>
    <w:rsid w:val="00B22C9E"/>
    <w:rsid w:val="00B923D8"/>
    <w:rsid w:val="00BB2ED4"/>
    <w:rsid w:val="00BD3259"/>
    <w:rsid w:val="00C049C7"/>
    <w:rsid w:val="00C35116"/>
    <w:rsid w:val="00CE1123"/>
    <w:rsid w:val="00D02480"/>
    <w:rsid w:val="00D37306"/>
    <w:rsid w:val="00D67DC3"/>
    <w:rsid w:val="00DF7CDF"/>
    <w:rsid w:val="00E34AE4"/>
    <w:rsid w:val="00E47BB3"/>
    <w:rsid w:val="00E77A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DF7C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14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463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14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463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18</cp:revision>
  <cp:lastPrinted>2018-04-26T14:59:00Z</cp:lastPrinted>
  <dcterms:created xsi:type="dcterms:W3CDTF">2016-12-26T22:23:00Z</dcterms:created>
  <dcterms:modified xsi:type="dcterms:W3CDTF">2018-04-26T14:59:00Z</dcterms:modified>
</cp:coreProperties>
</file>