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52EA" w:rsidRPr="000D6F58" w:rsidRDefault="002D575E" w:rsidP="000D6F58">
      <w:pPr>
        <w:jc w:val="right"/>
        <w:rPr>
          <w:rFonts w:ascii="Times New Roman" w:hAnsi="Times New Roman"/>
        </w:rPr>
      </w:pPr>
      <w:r w:rsidRPr="00A703B2">
        <w:rPr>
          <w:rFonts w:ascii="Times New Roman" w:hAnsi="Times New Roman"/>
        </w:rPr>
        <w:t xml:space="preserve">Yerba Buena, </w:t>
      </w:r>
      <w:r w:rsidR="00EA5732">
        <w:rPr>
          <w:rFonts w:ascii="Times New Roman" w:hAnsi="Times New Roman"/>
        </w:rPr>
        <w:t>17</w:t>
      </w:r>
      <w:r w:rsidR="00D956F3">
        <w:rPr>
          <w:rFonts w:ascii="Times New Roman" w:hAnsi="Times New Roman"/>
        </w:rPr>
        <w:t xml:space="preserve"> de </w:t>
      </w:r>
      <w:r w:rsidR="00EA5732">
        <w:rPr>
          <w:rFonts w:ascii="Times New Roman" w:hAnsi="Times New Roman"/>
        </w:rPr>
        <w:t>septiembre de 1999</w:t>
      </w:r>
    </w:p>
    <w:p w:rsidR="000D6F58" w:rsidRDefault="00EA5732" w:rsidP="000D6F58">
      <w:pPr>
        <w:jc w:val="center"/>
        <w:rPr>
          <w:rFonts w:ascii="Times New Roman" w:hAnsi="Times New Roman"/>
          <w:u w:val="single"/>
        </w:rPr>
      </w:pPr>
      <w:r>
        <w:rPr>
          <w:rFonts w:ascii="Times New Roman" w:hAnsi="Times New Roman"/>
          <w:u w:val="single"/>
        </w:rPr>
        <w:t>HONORABLE CONCEJO DELIBERANTE</w:t>
      </w:r>
      <w:r w:rsidR="002D575E" w:rsidRPr="00A703B2">
        <w:rPr>
          <w:rFonts w:ascii="Times New Roman" w:hAnsi="Times New Roman"/>
          <w:u w:val="single"/>
        </w:rPr>
        <w:t xml:space="preserve"> DE YERBA BUENA</w:t>
      </w:r>
    </w:p>
    <w:p w:rsidR="000D6F58" w:rsidRPr="00A703B2" w:rsidRDefault="000D6F58" w:rsidP="000D6F58">
      <w:pPr>
        <w:jc w:val="center"/>
        <w:rPr>
          <w:rFonts w:ascii="Times New Roman" w:hAnsi="Times New Roman"/>
          <w:u w:val="single"/>
        </w:rPr>
      </w:pPr>
    </w:p>
    <w:p w:rsidR="002D575E" w:rsidRDefault="002D575E">
      <w:pPr>
        <w:rPr>
          <w:rFonts w:ascii="Times New Roman" w:hAnsi="Times New Roman"/>
        </w:rPr>
      </w:pPr>
      <w:r w:rsidRPr="00A703B2">
        <w:rPr>
          <w:rFonts w:ascii="Times New Roman" w:hAnsi="Times New Roman"/>
          <w:u w:val="single"/>
        </w:rPr>
        <w:t>ORDENANZA Nº</w:t>
      </w:r>
      <w:r w:rsidRPr="00A703B2">
        <w:rPr>
          <w:rFonts w:ascii="Times New Roman" w:hAnsi="Times New Roman"/>
        </w:rPr>
        <w:t>:</w:t>
      </w:r>
      <w:r w:rsidR="005952EA">
        <w:rPr>
          <w:rFonts w:ascii="Times New Roman" w:hAnsi="Times New Roman"/>
        </w:rPr>
        <w:t xml:space="preserve"> </w:t>
      </w:r>
      <w:r w:rsidR="00EA5732">
        <w:rPr>
          <w:rFonts w:ascii="Times New Roman" w:hAnsi="Times New Roman"/>
        </w:rPr>
        <w:t>1012</w:t>
      </w:r>
      <w:r w:rsidR="00E34AE4">
        <w:rPr>
          <w:rFonts w:ascii="Times New Roman" w:hAnsi="Times New Roman"/>
        </w:rPr>
        <w:t>.-</w:t>
      </w:r>
    </w:p>
    <w:p w:rsidR="005952EA" w:rsidRDefault="005952EA">
      <w:pPr>
        <w:rPr>
          <w:rFonts w:ascii="Times New Roman" w:hAnsi="Times New Roman"/>
        </w:rPr>
      </w:pPr>
    </w:p>
    <w:p w:rsidR="00EA5732" w:rsidRDefault="002D575E">
      <w:pPr>
        <w:rPr>
          <w:rFonts w:ascii="Times New Roman" w:hAnsi="Times New Roman"/>
        </w:rPr>
      </w:pPr>
      <w:r w:rsidRPr="00A703B2">
        <w:rPr>
          <w:rFonts w:ascii="Times New Roman" w:hAnsi="Times New Roman"/>
          <w:u w:val="single"/>
        </w:rPr>
        <w:t>V</w:t>
      </w:r>
      <w:r w:rsidR="006F2884" w:rsidRPr="00A703B2">
        <w:rPr>
          <w:rFonts w:ascii="Times New Roman" w:hAnsi="Times New Roman"/>
          <w:u w:val="single"/>
        </w:rPr>
        <w:t>ISTO</w:t>
      </w:r>
      <w:r w:rsidRPr="00A703B2">
        <w:rPr>
          <w:rFonts w:ascii="Times New Roman" w:hAnsi="Times New Roman"/>
          <w:u w:val="single"/>
        </w:rPr>
        <w:t>:</w:t>
      </w:r>
      <w:r w:rsidR="005952EA">
        <w:rPr>
          <w:rFonts w:ascii="Times New Roman" w:hAnsi="Times New Roman"/>
        </w:rPr>
        <w:t xml:space="preserve"> </w:t>
      </w:r>
      <w:r w:rsidR="00EA5732">
        <w:rPr>
          <w:rFonts w:ascii="Times New Roman" w:hAnsi="Times New Roman"/>
        </w:rPr>
        <w:t>Los antecedentes de la Estación de Servicio de la Empresa “CHENTO TRES”;y</w:t>
      </w:r>
    </w:p>
    <w:p w:rsidR="00B923D8" w:rsidRDefault="002D575E">
      <w:pPr>
        <w:rPr>
          <w:rFonts w:ascii="Times New Roman" w:hAnsi="Times New Roman"/>
        </w:rPr>
      </w:pPr>
      <w:r w:rsidRPr="00A703B2">
        <w:rPr>
          <w:rFonts w:ascii="Times New Roman" w:hAnsi="Times New Roman"/>
          <w:u w:val="single"/>
        </w:rPr>
        <w:t>C</w:t>
      </w:r>
      <w:r w:rsidR="006F2884" w:rsidRPr="00A703B2">
        <w:rPr>
          <w:rFonts w:ascii="Times New Roman" w:hAnsi="Times New Roman"/>
          <w:u w:val="single"/>
        </w:rPr>
        <w:t>ONSIDERANDO</w:t>
      </w:r>
      <w:r w:rsidRPr="00A703B2">
        <w:rPr>
          <w:rFonts w:ascii="Times New Roman" w:hAnsi="Times New Roman"/>
        </w:rPr>
        <w:t>:</w:t>
      </w:r>
    </w:p>
    <w:p w:rsidR="007A63B8" w:rsidRDefault="00D956F3">
      <w:pPr>
        <w:rPr>
          <w:rFonts w:ascii="Times New Roman" w:hAnsi="Times New Roman"/>
        </w:rPr>
      </w:pPr>
      <w:r>
        <w:rPr>
          <w:rFonts w:ascii="Times New Roman" w:hAnsi="Times New Roman"/>
        </w:rPr>
        <w:t xml:space="preserve">Que </w:t>
      </w:r>
      <w:r w:rsidR="00EA5732">
        <w:rPr>
          <w:rFonts w:ascii="Times New Roman" w:hAnsi="Times New Roman"/>
        </w:rPr>
        <w:t>según los informes de las Areas Técnicas del ejecutivo, el edificio está en condiciones de ser aprobado ya que la empresa presentó los planos conforme a obra exigidos por el Ejecutivo Municipal, encontrándose completa la documentación referida al mencionado trámite;</w:t>
      </w:r>
    </w:p>
    <w:p w:rsidR="00EA5732" w:rsidRDefault="007A63B8">
      <w:pPr>
        <w:rPr>
          <w:rFonts w:ascii="Times New Roman" w:hAnsi="Times New Roman"/>
        </w:rPr>
      </w:pPr>
      <w:r>
        <w:rPr>
          <w:rFonts w:ascii="Times New Roman" w:hAnsi="Times New Roman"/>
        </w:rPr>
        <w:t xml:space="preserve"> </w:t>
      </w:r>
      <w:r w:rsidR="00933FB9">
        <w:rPr>
          <w:rFonts w:ascii="Times New Roman" w:hAnsi="Times New Roman"/>
        </w:rPr>
        <w:t>Que</w:t>
      </w:r>
      <w:r>
        <w:rPr>
          <w:rFonts w:ascii="Times New Roman" w:hAnsi="Times New Roman"/>
        </w:rPr>
        <w:t xml:space="preserve"> </w:t>
      </w:r>
      <w:r w:rsidR="00EA5732">
        <w:rPr>
          <w:rFonts w:ascii="Times New Roman" w:hAnsi="Times New Roman"/>
        </w:rPr>
        <w:t>el Código de Ordenamiento Urbano en su punto 1.11 (DEL TURISMO) declara a nuestra Av. Aconquija de Interés Turístico. Este Cuerpo interpeta que el Municipio debe fomentar las inversiones privadas, ya que el mismo artículo dice “dentro del proceso de desarrollo de la ciudad de Yerba Buena y como manera de refuncionalizarla económicamente, ya que cuenta con bellezas naturales dentro del territorio; un gran referente regional y metropolitano; la montaña, con sus paisajes la Ciudad de Yerba Buena es declarada de interés turístico” frente a ello se analizan los lugares urbanos existentes y por existir entre ello Av. Aconquija justamente;</w:t>
      </w:r>
    </w:p>
    <w:p w:rsidR="004C5564" w:rsidRDefault="00EA5732">
      <w:pPr>
        <w:rPr>
          <w:rFonts w:ascii="Times New Roman" w:hAnsi="Times New Roman"/>
        </w:rPr>
      </w:pPr>
      <w:r>
        <w:rPr>
          <w:rFonts w:ascii="Times New Roman" w:hAnsi="Times New Roman"/>
        </w:rPr>
        <w:t xml:space="preserve">Que lo que tenemos que fomentar es el embellecimiento de nuestra Avenida con edificos de alta jerarquía, teniendo este edificio un “bajísimo porcentaje de arquitecturización, buscando una transparencia entre el exterior e interior y el pasaje Magallanes </w:t>
      </w:r>
      <w:r w:rsidR="004C5564">
        <w:rPr>
          <w:rFonts w:ascii="Times New Roman" w:hAnsi="Times New Roman"/>
        </w:rPr>
        <w:t>produciendo las expectativas que habla el Código respecto de usar la arquitectura como señalizador… además no estamos hablando de una construcción destinada a vivienda sino de una Estación de Servicio, cuya escala, necesidades y condicionamientos son muy distintas a las que usualmente se observan”;</w:t>
      </w:r>
    </w:p>
    <w:p w:rsidR="004C5564" w:rsidRDefault="004C5564">
      <w:pPr>
        <w:rPr>
          <w:rFonts w:ascii="Times New Roman" w:hAnsi="Times New Roman"/>
        </w:rPr>
      </w:pPr>
      <w:r>
        <w:rPr>
          <w:rFonts w:ascii="Times New Roman" w:hAnsi="Times New Roman"/>
        </w:rPr>
        <w:t>Que no podemos desconocer la reforma del estado propiciada por la política económica de la política nacional como así también la ley de emergencia económica recientemente sancionada, evidentemente tendrá repercusión en el ámbito de los Municipios, de allí la necesidad de alentar las inversiones del sector privado, las cuales sin duda generan puestos genuinos de trabajo y la reactivación económica del Municipio en un todo de acuerdo con lo expresado en el Código de Ordenamiento Urbano;</w:t>
      </w:r>
    </w:p>
    <w:p w:rsidR="004C5564" w:rsidRDefault="004C5564">
      <w:pPr>
        <w:rPr>
          <w:rFonts w:ascii="Times New Roman" w:hAnsi="Times New Roman"/>
        </w:rPr>
      </w:pPr>
      <w:r>
        <w:rPr>
          <w:rFonts w:ascii="Times New Roman" w:hAnsi="Times New Roman"/>
        </w:rPr>
        <w:t xml:space="preserve">Que conforme a los tramites administrativos realizados hasta este momento surge que en los primeros planos presentados a la Municipalidad se había realizado una vía de excepción de </w:t>
      </w:r>
      <w:r>
        <w:rPr>
          <w:rFonts w:ascii="Times New Roman" w:hAnsi="Times New Roman"/>
        </w:rPr>
        <w:lastRenderedPageBreak/>
        <w:t>hecho, se aceptó la donación de doscientas bolsas de cemento, violando la atribución propia de este Cuerpo en ambos casos;</w:t>
      </w:r>
    </w:p>
    <w:p w:rsidR="004C5564" w:rsidRDefault="004C5564">
      <w:pPr>
        <w:rPr>
          <w:rFonts w:ascii="Times New Roman" w:hAnsi="Times New Roman"/>
        </w:rPr>
      </w:pPr>
      <w:r>
        <w:rPr>
          <w:rFonts w:ascii="Times New Roman" w:hAnsi="Times New Roman"/>
        </w:rPr>
        <w:t xml:space="preserve">Que ante todo ello es necesario recalcar la falta de control previo que debe realizarse en toda obra cualquiera sea la característica de la misma porque en el caso que nos ocupa debió preveerse con la debida anticipación la clausura preventiva cosa esta que no se sucedió sino que por el contrario se dejo avanzar la obra hasta estar finalizada con lo que en la actualidad significa un cuantioso daño económico, tanto para el Municipio como para la empresa, máxime aún cuando la obra en cuestión es lindera con el Edificio Municipal; </w:t>
      </w:r>
    </w:p>
    <w:p w:rsidR="004C5564" w:rsidRDefault="004C5564">
      <w:pPr>
        <w:rPr>
          <w:rFonts w:ascii="Times New Roman" w:hAnsi="Times New Roman"/>
        </w:rPr>
      </w:pPr>
      <w:r>
        <w:rPr>
          <w:rFonts w:ascii="Times New Roman" w:hAnsi="Times New Roman"/>
        </w:rPr>
        <w:t>Que la situación del paro municipal no es argumento suficiente para excusar la falta de control ya que los empleados se encontraban de paro y no los funcionariso que tienen el deber de controlar la situación mas aún en todos los expedientes tramitados en el Municipio jamás se solicito planos de nivel siendo ello muy necesario porque a simple vista el ciudadanos común puede observar el desnivel que existe entre el pasaje Magallanes y la Av. Aconquija;</w:t>
      </w:r>
    </w:p>
    <w:p w:rsidR="00D75239" w:rsidRDefault="004C5564">
      <w:pPr>
        <w:rPr>
          <w:rFonts w:ascii="Times New Roman" w:hAnsi="Times New Roman"/>
        </w:rPr>
      </w:pPr>
      <w:r>
        <w:rPr>
          <w:rFonts w:ascii="Times New Roman" w:hAnsi="Times New Roman"/>
        </w:rPr>
        <w:t xml:space="preserve">Que como una muestra más de la falta de control podemos destacar que en la Municipalidad de Yerba Buena existen un sinnúmero de edificaciones que se encuentran trabajando sin que hasta la fecha se hallan exigido planos para la habilitación de negocios o para verificar las construcciones de viviendas individuales incluso hay casos de rechazo de la via de excepción por parte de este Cuerpo que </w:t>
      </w:r>
      <w:r w:rsidR="00D75239">
        <w:rPr>
          <w:rFonts w:ascii="Times New Roman" w:hAnsi="Times New Roman"/>
        </w:rPr>
        <w:t>hasta el día de la fecha no han sido corregidos subsistiendo hasta aquí los inconvenientes que causan estas anormalidades sin que se haya tomado las medidas coercitivas para el cumplimiento de lo dispuesto por este Cuerpo;</w:t>
      </w:r>
    </w:p>
    <w:p w:rsidR="00D75239" w:rsidRDefault="00D75239">
      <w:pPr>
        <w:rPr>
          <w:rFonts w:ascii="Times New Roman" w:hAnsi="Times New Roman"/>
        </w:rPr>
      </w:pPr>
      <w:r>
        <w:rPr>
          <w:rFonts w:ascii="Times New Roman" w:hAnsi="Times New Roman"/>
        </w:rPr>
        <w:t xml:space="preserve"> </w:t>
      </w:r>
      <w:r w:rsidR="007A63B8">
        <w:rPr>
          <w:rFonts w:ascii="Times New Roman" w:hAnsi="Times New Roman"/>
        </w:rPr>
        <w:t>Que</w:t>
      </w:r>
      <w:r>
        <w:rPr>
          <w:rFonts w:ascii="Times New Roman" w:hAnsi="Times New Roman"/>
        </w:rPr>
        <w:t xml:space="preserve"> los edificios que no son vivienda pasan a ser urbanizaciones especiales, en este sentido el criterio que se adopta es saber ver como los profesionales de la arquitectura no solo su emplazamiento sino también su escala y el aporte que le hace al espacio urbano como en este caso a la Av. Aconquija (viaducto metropolitano);</w:t>
      </w:r>
    </w:p>
    <w:p w:rsidR="00D75239" w:rsidRDefault="00D75239">
      <w:pPr>
        <w:rPr>
          <w:rFonts w:ascii="Times New Roman" w:hAnsi="Times New Roman"/>
        </w:rPr>
      </w:pPr>
      <w:r>
        <w:rPr>
          <w:rFonts w:ascii="Times New Roman" w:hAnsi="Times New Roman"/>
        </w:rPr>
        <w:t>Que en relación a la situación de la acera la misma cuenta con dimensiones apropiadas en el sector de caminería siendo necesario efectuar el análisis global teniendo en consideración lo expresado en el Código vigente y las condiciones aceptables en la construcción de la acera:</w:t>
      </w:r>
    </w:p>
    <w:p w:rsidR="00D75239" w:rsidRDefault="00D75239">
      <w:pPr>
        <w:rPr>
          <w:rFonts w:ascii="Times New Roman" w:hAnsi="Times New Roman"/>
        </w:rPr>
      </w:pPr>
      <w:r>
        <w:rPr>
          <w:rFonts w:ascii="Times New Roman" w:hAnsi="Times New Roman"/>
        </w:rPr>
        <w:t>Que el problema puntual a resolver debe ser considerado tanto técnica como legalmente y de allí que si bien la vereda en cuestión no puede calificarse como óptima, tampoco puede calificarse como intransitable, ya que la pendiente donde transita el peatón cuenta con una superficie y pendiente adecuada. Sin olvidarnos que existe también una propuesta de la empresa que consiste en la incorporación de bandas antideslizantes entre la franja demarcatoria de la senda peatonal;</w:t>
      </w:r>
    </w:p>
    <w:p w:rsidR="000E05B0" w:rsidRDefault="00D75239" w:rsidP="00D75239">
      <w:pPr>
        <w:rPr>
          <w:rFonts w:ascii="Times New Roman" w:hAnsi="Times New Roman"/>
        </w:rPr>
      </w:pPr>
      <w:r>
        <w:rPr>
          <w:rFonts w:ascii="Times New Roman" w:hAnsi="Times New Roman"/>
        </w:rPr>
        <w:lastRenderedPageBreak/>
        <w:t>Que basta recorrer la Av. Aconquija en toda su extensión para darnos cuenta de que exieten veredas que podemos calificar de intransitables en las cuales el Departamento Ejecutivo Municipal ha tenido una intervención nula siendo esto mas grave cuando este Cuerpo ha dictado en dos oportunidaddes normativas tendientes a regularizar estas situaciones (moratorias de veredas) que no han sido cumplidas y que para el caso de las calles interiores ni siquiera se exige el acondicionamiento de las veredas siendo en la casi totalidad de éstas arterias inexistentes las aceras;</w:t>
      </w:r>
    </w:p>
    <w:p w:rsidR="00D75239" w:rsidRDefault="00D75239" w:rsidP="00D75239">
      <w:pPr>
        <w:rPr>
          <w:rFonts w:ascii="Times New Roman" w:hAnsi="Times New Roman"/>
        </w:rPr>
      </w:pPr>
      <w:r>
        <w:rPr>
          <w:rFonts w:ascii="Times New Roman" w:hAnsi="Times New Roman"/>
        </w:rPr>
        <w:t xml:space="preserve">Que si </w:t>
      </w:r>
      <w:r w:rsidR="00EE731D">
        <w:rPr>
          <w:rFonts w:ascii="Times New Roman" w:hAnsi="Times New Roman"/>
        </w:rPr>
        <w:t xml:space="preserve"> la construcción de la vereda de éste emprendimiento comercial se hiciera según la Ordenanza 370/90 se desfasaría la línea del arbolado y la vereda misma dando lugar a un quiebre incomodo para el peatón razón por la cual consideramos que la misma debe construirse siguiendo la línea de vereda existente en resto de la cuadra;</w:t>
      </w:r>
    </w:p>
    <w:p w:rsidR="00EE731D" w:rsidRDefault="00EE731D" w:rsidP="00D75239">
      <w:pPr>
        <w:rPr>
          <w:rFonts w:ascii="Times New Roman" w:hAnsi="Times New Roman"/>
        </w:rPr>
      </w:pPr>
      <w:r>
        <w:rPr>
          <w:rFonts w:ascii="Times New Roman" w:hAnsi="Times New Roman"/>
        </w:rPr>
        <w:t>Que si consideramos “que la Ordenanza 613 no puede ser tomada puntualmente sino que es necesario leer y entender la totalidad de los capítulos del Código de Ordenamiento Urbano, donde si observamos que las estrategias de un proyecto de ciudad único en el país ha sido aprobado mediante Ordenanza y con esto quiere decir que de la manera que se lo armó es para que haya un estricto control del fuerte peso inmobiliario sobre la ciudad por lo tanto acá prevalece el espíritu de la Ordenanza” (Arq. Maximo Cossio – Folio 45- Expte. 158-Y-98);</w:t>
      </w:r>
    </w:p>
    <w:p w:rsidR="00D956F3" w:rsidRDefault="00EE731D" w:rsidP="00EE731D">
      <w:pPr>
        <w:rPr>
          <w:rFonts w:ascii="Times New Roman" w:hAnsi="Times New Roman"/>
        </w:rPr>
      </w:pPr>
      <w:r>
        <w:rPr>
          <w:rFonts w:ascii="Times New Roman" w:hAnsi="Times New Roman"/>
        </w:rPr>
        <w:t>POR ELLO</w:t>
      </w:r>
    </w:p>
    <w:p w:rsidR="00A703B2" w:rsidRDefault="002D575E" w:rsidP="00A703B2">
      <w:pPr>
        <w:jc w:val="center"/>
        <w:rPr>
          <w:rFonts w:ascii="Times New Roman" w:hAnsi="Times New Roman"/>
          <w:u w:val="single"/>
        </w:rPr>
      </w:pPr>
      <w:r w:rsidRPr="00A703B2">
        <w:rPr>
          <w:rFonts w:ascii="Times New Roman" w:hAnsi="Times New Roman"/>
          <w:u w:val="single"/>
        </w:rPr>
        <w:t xml:space="preserve">EL </w:t>
      </w:r>
      <w:r w:rsidR="00EE731D">
        <w:rPr>
          <w:rFonts w:ascii="Times New Roman" w:hAnsi="Times New Roman"/>
          <w:u w:val="single"/>
        </w:rPr>
        <w:t>CONCEJO DELIBERANTE</w:t>
      </w:r>
      <w:r w:rsidR="00D956F3">
        <w:rPr>
          <w:rFonts w:ascii="Times New Roman" w:hAnsi="Times New Roman"/>
          <w:u w:val="single"/>
        </w:rPr>
        <w:t xml:space="preserve"> </w:t>
      </w:r>
    </w:p>
    <w:p w:rsidR="002D575E" w:rsidRPr="00A703B2" w:rsidRDefault="00D956F3" w:rsidP="00A703B2">
      <w:pPr>
        <w:jc w:val="center"/>
        <w:rPr>
          <w:rFonts w:ascii="Times New Roman" w:hAnsi="Times New Roman"/>
          <w:u w:val="single"/>
        </w:rPr>
      </w:pPr>
      <w:r>
        <w:rPr>
          <w:rFonts w:ascii="Times New Roman" w:hAnsi="Times New Roman"/>
          <w:u w:val="single"/>
        </w:rPr>
        <w:t xml:space="preserve">SANCIONA </w:t>
      </w:r>
      <w:r w:rsidR="002D575E" w:rsidRPr="00A703B2">
        <w:rPr>
          <w:rFonts w:ascii="Times New Roman" w:hAnsi="Times New Roman"/>
          <w:u w:val="single"/>
        </w:rPr>
        <w:t>CON FUERZA DE ORDENANZA:</w:t>
      </w:r>
    </w:p>
    <w:p w:rsidR="00EE731D" w:rsidRDefault="005952EA" w:rsidP="000D6F58">
      <w:pPr>
        <w:rPr>
          <w:rFonts w:ascii="Times New Roman" w:hAnsi="Times New Roman"/>
        </w:rPr>
      </w:pPr>
      <w:r w:rsidRPr="005952EA">
        <w:rPr>
          <w:rFonts w:ascii="Times New Roman" w:hAnsi="Times New Roman"/>
          <w:u w:val="single"/>
        </w:rPr>
        <w:t>ARTICULO PRIMERO:</w:t>
      </w:r>
      <w:r w:rsidRPr="000D6F58">
        <w:rPr>
          <w:rFonts w:ascii="Times New Roman" w:hAnsi="Times New Roman"/>
        </w:rPr>
        <w:t xml:space="preserve"> </w:t>
      </w:r>
      <w:r w:rsidR="00EE731D">
        <w:rPr>
          <w:rFonts w:ascii="Times New Roman" w:hAnsi="Times New Roman"/>
        </w:rPr>
        <w:t>APRUEBASE por vía de excepción la Documentación Técnica de la Empresa “CHENTO TRES S.R.L” correspondientes a los Padrones 775.689 y 775.690.-</w:t>
      </w:r>
    </w:p>
    <w:p w:rsidR="00EE731D" w:rsidRDefault="00EE731D" w:rsidP="000D6F58">
      <w:pPr>
        <w:rPr>
          <w:rFonts w:ascii="Times New Roman" w:hAnsi="Times New Roman"/>
        </w:rPr>
      </w:pPr>
      <w:r w:rsidRPr="000E05B0">
        <w:rPr>
          <w:rFonts w:ascii="Times New Roman" w:hAnsi="Times New Roman"/>
          <w:u w:val="single"/>
        </w:rPr>
        <w:t xml:space="preserve"> </w:t>
      </w:r>
      <w:r w:rsidR="000E05B0" w:rsidRPr="000E05B0">
        <w:rPr>
          <w:rFonts w:ascii="Times New Roman" w:hAnsi="Times New Roman"/>
          <w:u w:val="single"/>
        </w:rPr>
        <w:t>ARTICULO SEGUNDO:</w:t>
      </w:r>
      <w:r w:rsidR="000E05B0">
        <w:rPr>
          <w:rFonts w:ascii="Times New Roman" w:hAnsi="Times New Roman"/>
        </w:rPr>
        <w:t xml:space="preserve"> </w:t>
      </w:r>
      <w:r>
        <w:rPr>
          <w:rFonts w:ascii="Times New Roman" w:hAnsi="Times New Roman"/>
        </w:rPr>
        <w:t>La Empresa en el plazo perentorio de treinta día corridos deberá colocar las bandas antideslizantes conforme a lo expuesto en el Expediente 130-F-1.999.-</w:t>
      </w:r>
    </w:p>
    <w:p w:rsidR="003E657F" w:rsidRPr="000E05B0" w:rsidRDefault="00EE731D" w:rsidP="003E657F">
      <w:pPr>
        <w:rPr>
          <w:rFonts w:ascii="Times New Roman" w:hAnsi="Times New Roman"/>
        </w:rPr>
      </w:pPr>
      <w:r w:rsidRPr="000E05B0">
        <w:rPr>
          <w:rFonts w:ascii="Times New Roman" w:hAnsi="Times New Roman"/>
          <w:u w:val="single"/>
        </w:rPr>
        <w:t xml:space="preserve"> </w:t>
      </w:r>
      <w:r w:rsidR="000E05B0" w:rsidRPr="000E05B0">
        <w:rPr>
          <w:rFonts w:ascii="Times New Roman" w:hAnsi="Times New Roman"/>
          <w:u w:val="single"/>
        </w:rPr>
        <w:t>ARTICULO TERCERO:</w:t>
      </w:r>
      <w:r w:rsidR="000E05B0">
        <w:rPr>
          <w:rFonts w:ascii="Times New Roman" w:hAnsi="Times New Roman"/>
        </w:rPr>
        <w:t xml:space="preserve"> </w:t>
      </w:r>
      <w:r w:rsidR="003E657F" w:rsidRPr="00C049C7">
        <w:rPr>
          <w:rFonts w:ascii="Times New Roman" w:hAnsi="Times New Roman"/>
        </w:rPr>
        <w:t>COMUNÍQUESE</w:t>
      </w:r>
      <w:r w:rsidR="003E657F">
        <w:rPr>
          <w:rFonts w:ascii="Times New Roman" w:hAnsi="Times New Roman"/>
        </w:rPr>
        <w:t>,</w:t>
      </w:r>
      <w:r w:rsidR="00D956F3">
        <w:rPr>
          <w:rFonts w:ascii="Times New Roman" w:hAnsi="Times New Roman"/>
        </w:rPr>
        <w:t xml:space="preserve"> PUBLIQUESE,</w:t>
      </w:r>
      <w:r w:rsidR="003E657F">
        <w:rPr>
          <w:rFonts w:ascii="Times New Roman" w:hAnsi="Times New Roman"/>
        </w:rPr>
        <w:t xml:space="preserve"> </w:t>
      </w:r>
      <w:r w:rsidR="003E657F" w:rsidRPr="00C049C7">
        <w:rPr>
          <w:rFonts w:ascii="Times New Roman" w:hAnsi="Times New Roman"/>
        </w:rPr>
        <w:t>CÓPIESE y ARCHÍVESE.-</w:t>
      </w:r>
    </w:p>
    <w:p w:rsidR="006F2884" w:rsidRPr="00A703B2" w:rsidRDefault="006F2884">
      <w:pPr>
        <w:rPr>
          <w:rFonts w:ascii="Times New Roman" w:hAnsi="Times New Roman"/>
        </w:rPr>
      </w:pPr>
    </w:p>
    <w:sectPr w:rsidR="006F2884" w:rsidRPr="00A703B2" w:rsidSect="00D00618">
      <w:footerReference w:type="default" r:id="rId7"/>
      <w:pgSz w:w="11906" w:h="16838"/>
      <w:pgMar w:top="1417" w:right="1701" w:bottom="1417" w:left="1701" w:header="708" w:footer="708" w:gutter="0"/>
      <w:pgNumType w:start="1008"/>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E54E6" w:rsidRDefault="00CE54E6" w:rsidP="00CE54E6">
      <w:pPr>
        <w:spacing w:after="0" w:line="240" w:lineRule="auto"/>
      </w:pPr>
      <w:r>
        <w:separator/>
      </w:r>
    </w:p>
  </w:endnote>
  <w:endnote w:type="continuationSeparator" w:id="0">
    <w:p w:rsidR="00CE54E6" w:rsidRDefault="00CE54E6" w:rsidP="00CE54E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54E6" w:rsidRPr="00210345" w:rsidRDefault="00CE54E6">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E54E6" w:rsidRDefault="00CE54E6" w:rsidP="00CE54E6">
      <w:pPr>
        <w:spacing w:after="0" w:line="240" w:lineRule="auto"/>
      </w:pPr>
      <w:r>
        <w:separator/>
      </w:r>
    </w:p>
  </w:footnote>
  <w:footnote w:type="continuationSeparator" w:id="0">
    <w:p w:rsidR="00CE54E6" w:rsidRDefault="00CE54E6" w:rsidP="00CE54E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characterSpacingControl w:val="doNotCompress"/>
  <w:footnotePr>
    <w:footnote w:id="-1"/>
    <w:footnote w:id="0"/>
  </w:footnotePr>
  <w:endnotePr>
    <w:endnote w:id="-1"/>
    <w:endnote w:id="0"/>
  </w:endnotePr>
  <w:compat/>
  <w:rsids>
    <w:rsidRoot w:val="00D956F3"/>
    <w:rsid w:val="0006533F"/>
    <w:rsid w:val="000776C1"/>
    <w:rsid w:val="000D6F58"/>
    <w:rsid w:val="000E05B0"/>
    <w:rsid w:val="00210345"/>
    <w:rsid w:val="00222916"/>
    <w:rsid w:val="002D575E"/>
    <w:rsid w:val="003E657F"/>
    <w:rsid w:val="003F2882"/>
    <w:rsid w:val="00471539"/>
    <w:rsid w:val="004C5564"/>
    <w:rsid w:val="005952EA"/>
    <w:rsid w:val="006F2884"/>
    <w:rsid w:val="007A63B8"/>
    <w:rsid w:val="007B73E1"/>
    <w:rsid w:val="007E6ABD"/>
    <w:rsid w:val="007F1AB9"/>
    <w:rsid w:val="00933FB9"/>
    <w:rsid w:val="00A703B2"/>
    <w:rsid w:val="00B6211B"/>
    <w:rsid w:val="00B923D8"/>
    <w:rsid w:val="00BB2ED4"/>
    <w:rsid w:val="00C049C7"/>
    <w:rsid w:val="00CE1123"/>
    <w:rsid w:val="00CE54E6"/>
    <w:rsid w:val="00D00618"/>
    <w:rsid w:val="00D75239"/>
    <w:rsid w:val="00D956F3"/>
    <w:rsid w:val="00E34AE4"/>
    <w:rsid w:val="00E47BB3"/>
    <w:rsid w:val="00EA5732"/>
    <w:rsid w:val="00EE731D"/>
    <w:rsid w:val="00F26858"/>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CE54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CE54E6"/>
    <w:rPr>
      <w:sz w:val="22"/>
      <w:szCs w:val="22"/>
      <w:lang w:eastAsia="en-US"/>
    </w:rPr>
  </w:style>
  <w:style w:type="paragraph" w:styleId="Piedepgina">
    <w:name w:val="footer"/>
    <w:basedOn w:val="Normal"/>
    <w:link w:val="PiedepginaCar"/>
    <w:uiPriority w:val="99"/>
    <w:semiHidden/>
    <w:unhideWhenUsed/>
    <w:rsid w:val="00CE54E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CE54E6"/>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31</TotalTime>
  <Pages>3</Pages>
  <Words>1087</Words>
  <Characters>5979</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8</cp:revision>
  <cp:lastPrinted>2018-04-26T14:59:00Z</cp:lastPrinted>
  <dcterms:created xsi:type="dcterms:W3CDTF">2017-04-11T22:39:00Z</dcterms:created>
  <dcterms:modified xsi:type="dcterms:W3CDTF">2018-04-26T14:59:00Z</dcterms:modified>
</cp:coreProperties>
</file>