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943247">
        <w:rPr>
          <w:rFonts w:ascii="Times New Roman" w:hAnsi="Times New Roman"/>
        </w:rPr>
        <w:t>18</w:t>
      </w:r>
      <w:r w:rsidR="00F00B54">
        <w:rPr>
          <w:rFonts w:ascii="Times New Roman" w:hAnsi="Times New Roman"/>
        </w:rPr>
        <w:t xml:space="preserve"> </w:t>
      </w:r>
      <w:r w:rsidR="00943247">
        <w:rPr>
          <w:rFonts w:ascii="Times New Roman" w:hAnsi="Times New Roman"/>
        </w:rPr>
        <w:t>OCT</w:t>
      </w:r>
      <w:r w:rsidR="00F00B54">
        <w:rPr>
          <w:rFonts w:ascii="Times New Roman" w:hAnsi="Times New Roman"/>
        </w:rPr>
        <w:t>. 1999</w:t>
      </w:r>
    </w:p>
    <w:p w:rsidR="000D6F58" w:rsidRDefault="00CE1123" w:rsidP="000D6F58">
      <w:pPr>
        <w:jc w:val="center"/>
        <w:rPr>
          <w:rFonts w:ascii="Times New Roman" w:hAnsi="Times New Roman"/>
          <w:u w:val="single"/>
        </w:rPr>
      </w:pPr>
      <w:r>
        <w:rPr>
          <w:rFonts w:ascii="Times New Roman" w:hAnsi="Times New Roman"/>
          <w:u w:val="single"/>
        </w:rPr>
        <w:t xml:space="preserve">HONORABLE </w:t>
      </w:r>
      <w:r w:rsidR="002D575E" w:rsidRPr="00A703B2">
        <w:rPr>
          <w:rFonts w:ascii="Times New Roman" w:hAnsi="Times New Roman"/>
          <w:u w:val="single"/>
        </w:rPr>
        <w:t>CONCEJO DELIBERANTE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A07EC0">
        <w:rPr>
          <w:rFonts w:ascii="Times New Roman" w:hAnsi="Times New Roman"/>
        </w:rPr>
        <w:t>1015</w:t>
      </w:r>
      <w:r w:rsidR="00E34AE4">
        <w:rPr>
          <w:rFonts w:ascii="Times New Roman" w:hAnsi="Times New Roman"/>
        </w:rPr>
        <w:t>.-</w:t>
      </w:r>
    </w:p>
    <w:p w:rsidR="005952EA" w:rsidRDefault="005952EA">
      <w:pPr>
        <w:rPr>
          <w:rFonts w:ascii="Times New Roman" w:hAnsi="Times New Roman"/>
        </w:rPr>
      </w:pPr>
    </w:p>
    <w:p w:rsidR="00A07EC0"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r w:rsidR="00A07EC0">
        <w:rPr>
          <w:rFonts w:ascii="Times New Roman" w:hAnsi="Times New Roman"/>
        </w:rPr>
        <w:t>Los antecedentes de la Estación de Servicio de la Empresa “Surtidores Marcos Paz”.</w:t>
      </w:r>
    </w:p>
    <w:p w:rsidR="00B923D8" w:rsidRDefault="00943247">
      <w:pPr>
        <w:rPr>
          <w:rFonts w:ascii="Times New Roman" w:hAnsi="Times New Roman"/>
        </w:rPr>
      </w:pPr>
      <w:r w:rsidRPr="00A703B2">
        <w:rPr>
          <w:rFonts w:ascii="Times New Roman" w:hAnsi="Times New Roman"/>
          <w:u w:val="single"/>
        </w:rPr>
        <w:t xml:space="preserve"> </w:t>
      </w:r>
      <w:r w:rsidR="002D575E" w:rsidRPr="00A703B2">
        <w:rPr>
          <w:rFonts w:ascii="Times New Roman" w:hAnsi="Times New Roman"/>
          <w:u w:val="single"/>
        </w:rPr>
        <w:t>C</w:t>
      </w:r>
      <w:r w:rsidR="006F2884" w:rsidRPr="00A703B2">
        <w:rPr>
          <w:rFonts w:ascii="Times New Roman" w:hAnsi="Times New Roman"/>
          <w:u w:val="single"/>
        </w:rPr>
        <w:t>ONSIDERANDO</w:t>
      </w:r>
      <w:r w:rsidR="002D575E" w:rsidRPr="00A703B2">
        <w:rPr>
          <w:rFonts w:ascii="Times New Roman" w:hAnsi="Times New Roman"/>
        </w:rPr>
        <w:t>:</w:t>
      </w:r>
    </w:p>
    <w:p w:rsidR="00A07EC0" w:rsidRDefault="00F00B54">
      <w:pPr>
        <w:rPr>
          <w:rFonts w:ascii="Times New Roman" w:hAnsi="Times New Roman"/>
        </w:rPr>
      </w:pPr>
      <w:r>
        <w:rPr>
          <w:rFonts w:ascii="Times New Roman" w:hAnsi="Times New Roman"/>
        </w:rPr>
        <w:t>Que,</w:t>
      </w:r>
      <w:r w:rsidR="00943247">
        <w:rPr>
          <w:rFonts w:ascii="Times New Roman" w:hAnsi="Times New Roman"/>
        </w:rPr>
        <w:t xml:space="preserve"> </w:t>
      </w:r>
      <w:r w:rsidR="00A07EC0">
        <w:rPr>
          <w:rFonts w:ascii="Times New Roman" w:hAnsi="Times New Roman"/>
        </w:rPr>
        <w:t>la mencionada empresa, pionera y centenaria de nuestro Municipio solicita la aprobación de los Planos de Unificación y División correspondiente a los Padrones Nros. 678.632 y 678.632;</w:t>
      </w:r>
    </w:p>
    <w:p w:rsidR="00A07EC0" w:rsidRDefault="00A07EC0">
      <w:pPr>
        <w:rPr>
          <w:rFonts w:ascii="Times New Roman" w:hAnsi="Times New Roman"/>
        </w:rPr>
      </w:pPr>
      <w:r>
        <w:rPr>
          <w:rFonts w:ascii="Times New Roman" w:hAnsi="Times New Roman"/>
        </w:rPr>
        <w:t xml:space="preserve">Que según los informes de las </w:t>
      </w:r>
      <w:r w:rsidR="004A325F">
        <w:rPr>
          <w:rFonts w:ascii="Times New Roman" w:hAnsi="Times New Roman"/>
        </w:rPr>
        <w:t>Áreas</w:t>
      </w:r>
      <w:r>
        <w:rPr>
          <w:rFonts w:ascii="Times New Roman" w:hAnsi="Times New Roman"/>
        </w:rPr>
        <w:t xml:space="preserve"> </w:t>
      </w:r>
      <w:r w:rsidR="004A325F">
        <w:rPr>
          <w:rFonts w:ascii="Times New Roman" w:hAnsi="Times New Roman"/>
        </w:rPr>
        <w:t>Técnicas</w:t>
      </w:r>
      <w:r>
        <w:rPr>
          <w:rFonts w:ascii="Times New Roman" w:hAnsi="Times New Roman"/>
        </w:rPr>
        <w:t xml:space="preserve"> del Ejecutivo, una de las fracciones a unificar no cumple con las medidas del frentes y si con el fondo y la superficie, y que previamente deberán regularizar su situación catastral para poder presentar documentación de Obra Construida actualizada de la propiedad.</w:t>
      </w:r>
    </w:p>
    <w:p w:rsidR="00DB6332" w:rsidRDefault="00A07EC0">
      <w:pPr>
        <w:rPr>
          <w:rFonts w:ascii="Times New Roman" w:hAnsi="Times New Roman"/>
        </w:rPr>
      </w:pPr>
      <w:r>
        <w:rPr>
          <w:rFonts w:ascii="Times New Roman" w:hAnsi="Times New Roman"/>
        </w:rPr>
        <w:t xml:space="preserve">Que el Código de Ordenamiento Urbano en su punto 1.11 (Del Turismo) declara a nuestra Av. Aconquija de Interés Turístico. Este Cuerpo interpreta que el Municipio debe fomentar las inversiones privadas, ya </w:t>
      </w:r>
      <w:r w:rsidR="00DB6332">
        <w:rPr>
          <w:rFonts w:ascii="Times New Roman" w:hAnsi="Times New Roman"/>
        </w:rPr>
        <w:t>que el mismo artículo dice “dentro del proceso de desarrollo de la Ciudad de Yerba Buena y como manera de refuncionalizarla económicamente, ya que cuenta con bellezas naturales dentro del territorio, un gran referente regional y metropolitano. La montaña, con sus paisajes la Ciudad de Yerba Buena es declarada de interés turístico” frente a ello se analizan los lugares urbanos existentes y por existir entre ello Av. Aconquija justamente;</w:t>
      </w:r>
    </w:p>
    <w:p w:rsidR="004A325F" w:rsidRDefault="00DB6332">
      <w:pPr>
        <w:rPr>
          <w:rFonts w:ascii="Times New Roman" w:hAnsi="Times New Roman"/>
        </w:rPr>
      </w:pPr>
      <w:r>
        <w:rPr>
          <w:rFonts w:ascii="Times New Roman" w:hAnsi="Times New Roman"/>
        </w:rPr>
        <w:t xml:space="preserve">Que lo que tenemos que fomentar es el embellecimiento de nuestra Avenida </w:t>
      </w:r>
      <w:r w:rsidR="004A325F">
        <w:rPr>
          <w:rFonts w:ascii="Times New Roman" w:hAnsi="Times New Roman"/>
        </w:rPr>
        <w:t>con edificios de alta jerarquía, teniendo este edificio un “bajísimo porcentaje de arquitecturización”;</w:t>
      </w:r>
    </w:p>
    <w:p w:rsidR="004A325F" w:rsidRDefault="004A325F">
      <w:pPr>
        <w:rPr>
          <w:rFonts w:ascii="Times New Roman" w:hAnsi="Times New Roman"/>
        </w:rPr>
      </w:pPr>
      <w:r>
        <w:rPr>
          <w:rFonts w:ascii="Times New Roman" w:hAnsi="Times New Roman"/>
        </w:rPr>
        <w:t>Que no podemos desconocer la reforma del Estado propiciada con la política económica de la administración Nacional y la que se pretende aplicar en el ámbito Provincial evidentemente tendrá repercusión en la comunidad de los Municipios, de allí la necesidad de alentar las inversiones del sector privado, las cuales sin duda generan puestos genuinos de trabajo y la reactivación económica del Municipio en un todo de acuerdo con lo expresado en el Código de Ordenamiento Urbano;</w:t>
      </w:r>
    </w:p>
    <w:p w:rsidR="004A325F" w:rsidRDefault="004A325F">
      <w:pPr>
        <w:rPr>
          <w:rFonts w:ascii="Times New Roman" w:hAnsi="Times New Roman"/>
        </w:rPr>
      </w:pPr>
      <w:r>
        <w:rPr>
          <w:rFonts w:ascii="Times New Roman" w:hAnsi="Times New Roman"/>
        </w:rPr>
        <w:lastRenderedPageBreak/>
        <w:t>Que los edificios que no son vivienda pasan a ser urbanizaciones especiales, en este sentido el criterio que se adopta es saber ver como los profesionales de la arquitectura, no solo su emplazamiento sino también su escala y el aporte que le hace al espacio urbano como en este caso a la Av. Aconquija (viaducto metropolitano);</w:t>
      </w:r>
    </w:p>
    <w:p w:rsidR="00943247" w:rsidRDefault="004A325F" w:rsidP="004A325F">
      <w:pPr>
        <w:rPr>
          <w:rFonts w:ascii="Times New Roman" w:hAnsi="Times New Roman"/>
        </w:rPr>
      </w:pPr>
      <w:r>
        <w:rPr>
          <w:rFonts w:ascii="Times New Roman" w:hAnsi="Times New Roman"/>
        </w:rPr>
        <w:t>Que si consideramos “Que la ordenanza 613 no puede ser tomada puntualmente sino que es necesario lee y entender la totalidad de los Capítulos del Código de Ordenamiento Urbano, donde si observamos que las estrategias de un proyecto de Ciudad único en el País ha sido aprobado mediante Ordenanza y con esto quiero decir que de la manera que se lo armó es para que haya un estricto control del fuerte peso inmobiliario sobre la Ciudad por lo tanto acá prevalece el espíritu de la Ordenanza (Arq. Máximo Cossio – Folio 45 – Expte. 158-Y-98);</w:t>
      </w:r>
    </w:p>
    <w:p w:rsidR="00F00B54" w:rsidRDefault="00F00B54">
      <w:pPr>
        <w:rPr>
          <w:rFonts w:ascii="Times New Roman" w:hAnsi="Times New Roman"/>
        </w:rPr>
      </w:pPr>
    </w:p>
    <w:p w:rsidR="00F00B54" w:rsidRDefault="00F00B54">
      <w:pPr>
        <w:rPr>
          <w:rFonts w:ascii="Times New Roman" w:hAnsi="Times New Roman"/>
        </w:rPr>
      </w:pPr>
      <w:r>
        <w:rPr>
          <w:rFonts w:ascii="Times New Roman" w:hAnsi="Times New Roman"/>
        </w:rPr>
        <w:t>POR ELLO</w:t>
      </w:r>
    </w:p>
    <w:p w:rsidR="00A703B2" w:rsidRDefault="002D575E" w:rsidP="00A703B2">
      <w:pPr>
        <w:jc w:val="center"/>
        <w:rPr>
          <w:rFonts w:ascii="Times New Roman" w:hAnsi="Times New Roman"/>
          <w:u w:val="single"/>
        </w:rPr>
      </w:pPr>
      <w:r w:rsidRPr="00A703B2">
        <w:rPr>
          <w:rFonts w:ascii="Times New Roman" w:hAnsi="Times New Roman"/>
          <w:u w:val="single"/>
        </w:rPr>
        <w:t xml:space="preserve">EL CONCEJO DELIBERANTE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SANCIONA CON FUERZA DE ORDENANZA:</w:t>
      </w:r>
    </w:p>
    <w:p w:rsidR="009D4036" w:rsidRPr="004A325F" w:rsidRDefault="005952EA" w:rsidP="004A325F">
      <w:pPr>
        <w:rPr>
          <w:rFonts w:ascii="Times New Roman" w:hAnsi="Times New Roman"/>
          <w:i/>
        </w:rPr>
      </w:pPr>
      <w:r w:rsidRPr="00BE5187">
        <w:rPr>
          <w:rFonts w:ascii="Times New Roman" w:hAnsi="Times New Roman"/>
          <w:b/>
          <w:u w:val="single"/>
        </w:rPr>
        <w:t>ARTICULO PRIMERO:</w:t>
      </w:r>
      <w:r w:rsidR="00F00B54" w:rsidRPr="00BE5187">
        <w:rPr>
          <w:rFonts w:ascii="Times New Roman" w:hAnsi="Times New Roman"/>
          <w:b/>
        </w:rPr>
        <w:t xml:space="preserve"> </w:t>
      </w:r>
      <w:r w:rsidR="004A325F">
        <w:rPr>
          <w:rFonts w:ascii="Times New Roman" w:hAnsi="Times New Roman"/>
          <w:b/>
        </w:rPr>
        <w:t xml:space="preserve">APRUEBASE </w:t>
      </w:r>
      <w:r w:rsidR="004A325F" w:rsidRPr="004A325F">
        <w:rPr>
          <w:rFonts w:ascii="Times New Roman" w:hAnsi="Times New Roman"/>
        </w:rPr>
        <w:t>por vía de excepción los Planos de Unificación y División de los inmuebles identificados con los Padrones Nros. 678.632 y 678.633 de propiedad de los Señores JUSTIN LORENZO SANCHEZ, DANIEL ANTONIO SANCHEZ Y LORENZO JUSTIN SANCHEZ-</w:t>
      </w:r>
      <w:r w:rsidR="004A325F" w:rsidRPr="004A325F">
        <w:rPr>
          <w:rFonts w:ascii="Times New Roman" w:hAnsi="Times New Roman"/>
          <w:i/>
        </w:rPr>
        <w:t xml:space="preserve"> </w:t>
      </w:r>
    </w:p>
    <w:p w:rsidR="00BE5187" w:rsidRPr="00BE5187" w:rsidRDefault="00943247" w:rsidP="000D6F58">
      <w:pPr>
        <w:rPr>
          <w:rFonts w:ascii="Times New Roman" w:hAnsi="Times New Roman"/>
          <w:b/>
        </w:rPr>
      </w:pPr>
      <w:r w:rsidRPr="00BE5187">
        <w:rPr>
          <w:rFonts w:ascii="Times New Roman" w:hAnsi="Times New Roman"/>
          <w:b/>
          <w:u w:val="single"/>
        </w:rPr>
        <w:t xml:space="preserve"> </w:t>
      </w:r>
      <w:r w:rsidR="00BE5187" w:rsidRPr="00BE5187">
        <w:rPr>
          <w:rFonts w:ascii="Times New Roman" w:hAnsi="Times New Roman"/>
          <w:b/>
          <w:u w:val="single"/>
        </w:rPr>
        <w:t>ARTICULO SEGUNDO</w:t>
      </w:r>
      <w:r w:rsidR="004A325F" w:rsidRPr="00BE5187">
        <w:rPr>
          <w:rFonts w:ascii="Times New Roman" w:hAnsi="Times New Roman"/>
          <w:b/>
          <w:u w:val="single"/>
        </w:rPr>
        <w:t>:</w:t>
      </w:r>
      <w:r w:rsidR="004A325F" w:rsidRPr="00BE5187">
        <w:rPr>
          <w:rFonts w:ascii="Times New Roman" w:hAnsi="Times New Roman"/>
          <w:b/>
        </w:rPr>
        <w:t xml:space="preserve"> </w:t>
      </w:r>
      <w:r w:rsidR="004A325F">
        <w:rPr>
          <w:rFonts w:ascii="Times New Roman" w:hAnsi="Times New Roman"/>
          <w:b/>
        </w:rPr>
        <w:t>COMUNIQUESE</w:t>
      </w:r>
      <w:r w:rsidR="00BE5187" w:rsidRPr="00BE5187">
        <w:rPr>
          <w:rFonts w:ascii="Times New Roman" w:hAnsi="Times New Roman"/>
          <w:b/>
        </w:rPr>
        <w:t>, COPIESE Y ARCHIVESE.-</w:t>
      </w:r>
    </w:p>
    <w:p w:rsidR="007B73E1" w:rsidRDefault="007B73E1" w:rsidP="003E657F">
      <w:pPr>
        <w:rPr>
          <w:rFonts w:ascii="Times New Roman" w:hAnsi="Times New Roman"/>
        </w:rPr>
      </w:pPr>
    </w:p>
    <w:p w:rsidR="006F2884" w:rsidRPr="00A703B2" w:rsidRDefault="006F2884">
      <w:pPr>
        <w:rPr>
          <w:rFonts w:ascii="Times New Roman" w:hAnsi="Times New Roman"/>
        </w:rPr>
      </w:pPr>
    </w:p>
    <w:sectPr w:rsidR="006F2884" w:rsidRPr="00A703B2" w:rsidSect="00AC5099">
      <w:footerReference w:type="default" r:id="rId7"/>
      <w:pgSz w:w="11906" w:h="16838"/>
      <w:pgMar w:top="1417" w:right="1701" w:bottom="1417" w:left="1701" w:header="708" w:footer="708" w:gutter="0"/>
      <w:pgNumType w:start="101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2A3E" w:rsidRDefault="00682A3E" w:rsidP="00682A3E">
      <w:pPr>
        <w:spacing w:after="0" w:line="240" w:lineRule="auto"/>
      </w:pPr>
      <w:r>
        <w:separator/>
      </w:r>
    </w:p>
  </w:endnote>
  <w:endnote w:type="continuationSeparator" w:id="0">
    <w:p w:rsidR="00682A3E" w:rsidRDefault="00682A3E" w:rsidP="00682A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2A3E" w:rsidRPr="004171CA" w:rsidRDefault="00682A3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2A3E" w:rsidRDefault="00682A3E" w:rsidP="00682A3E">
      <w:pPr>
        <w:spacing w:after="0" w:line="240" w:lineRule="auto"/>
      </w:pPr>
      <w:r>
        <w:separator/>
      </w:r>
    </w:p>
  </w:footnote>
  <w:footnote w:type="continuationSeparator" w:id="0">
    <w:p w:rsidR="00682A3E" w:rsidRDefault="00682A3E" w:rsidP="00682A3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D6B65AE"/>
    <w:multiLevelType w:val="hybridMultilevel"/>
    <w:tmpl w:val="C1568CC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F00B54"/>
    <w:rsid w:val="000776C1"/>
    <w:rsid w:val="000D6F58"/>
    <w:rsid w:val="00222916"/>
    <w:rsid w:val="002D575E"/>
    <w:rsid w:val="003E657F"/>
    <w:rsid w:val="00411B14"/>
    <w:rsid w:val="00417128"/>
    <w:rsid w:val="004171CA"/>
    <w:rsid w:val="00475136"/>
    <w:rsid w:val="004A325F"/>
    <w:rsid w:val="005014F8"/>
    <w:rsid w:val="005952EA"/>
    <w:rsid w:val="00654B25"/>
    <w:rsid w:val="00682A3E"/>
    <w:rsid w:val="006F2884"/>
    <w:rsid w:val="007B73E1"/>
    <w:rsid w:val="007E6ABD"/>
    <w:rsid w:val="007F1AB9"/>
    <w:rsid w:val="00943247"/>
    <w:rsid w:val="009D4036"/>
    <w:rsid w:val="00A07EC0"/>
    <w:rsid w:val="00A703B2"/>
    <w:rsid w:val="00AC5099"/>
    <w:rsid w:val="00AD3824"/>
    <w:rsid w:val="00B77635"/>
    <w:rsid w:val="00B923D8"/>
    <w:rsid w:val="00BB2ED4"/>
    <w:rsid w:val="00BE5187"/>
    <w:rsid w:val="00C049C7"/>
    <w:rsid w:val="00CE1123"/>
    <w:rsid w:val="00DB6332"/>
    <w:rsid w:val="00E34AE4"/>
    <w:rsid w:val="00E47BB3"/>
    <w:rsid w:val="00F00B5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943247"/>
    <w:pPr>
      <w:ind w:left="720"/>
      <w:contextualSpacing/>
    </w:pPr>
  </w:style>
  <w:style w:type="table" w:styleId="Tablaconcuadrcula">
    <w:name w:val="Table Grid"/>
    <w:basedOn w:val="Tablanormal"/>
    <w:uiPriority w:val="59"/>
    <w:rsid w:val="009D403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682A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82A3E"/>
    <w:rPr>
      <w:sz w:val="22"/>
      <w:szCs w:val="22"/>
      <w:lang w:eastAsia="en-US"/>
    </w:rPr>
  </w:style>
  <w:style w:type="paragraph" w:styleId="Piedepgina">
    <w:name w:val="footer"/>
    <w:basedOn w:val="Normal"/>
    <w:link w:val="PiedepginaCar"/>
    <w:uiPriority w:val="99"/>
    <w:semiHidden/>
    <w:unhideWhenUsed/>
    <w:rsid w:val="00682A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82A3E"/>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10</TotalTime>
  <Pages>2</Pages>
  <Words>500</Words>
  <Characters>2750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2018-04-26T14:59:00Z</cp:lastPrinted>
  <dcterms:created xsi:type="dcterms:W3CDTF">2017-04-07T21:47:00Z</dcterms:created>
  <dcterms:modified xsi:type="dcterms:W3CDTF">2018-04-26T14:59:00Z</dcterms:modified>
</cp:coreProperties>
</file>