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 xml:space="preserve">Yerba Buena, </w:t>
      </w:r>
      <w:r w:rsidR="000E1871">
        <w:rPr>
          <w:rFonts w:ascii="Times New Roman" w:hAnsi="Times New Roman"/>
        </w:rPr>
        <w:t>23 JUN 2003</w:t>
      </w:r>
    </w:p>
    <w:p w:rsidR="000D6F58" w:rsidRDefault="000E1871" w:rsidP="000D6F58">
      <w:pPr>
        <w:jc w:val="center"/>
        <w:rPr>
          <w:rFonts w:ascii="Times New Roman" w:hAnsi="Times New Roman"/>
          <w:u w:val="single"/>
        </w:rPr>
      </w:pPr>
      <w:r>
        <w:rPr>
          <w:rFonts w:ascii="Times New Roman" w:hAnsi="Times New Roman"/>
          <w:u w:val="single"/>
        </w:rPr>
        <w:t>MUNICIPALIDAD</w:t>
      </w:r>
      <w:r w:rsidR="002D575E" w:rsidRPr="00A703B2">
        <w:rPr>
          <w:rFonts w:ascii="Times New Roman" w:hAnsi="Times New Roman"/>
          <w:u w:val="single"/>
        </w:rPr>
        <w:t xml:space="preserve"> 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5952EA">
        <w:rPr>
          <w:rFonts w:ascii="Times New Roman" w:hAnsi="Times New Roman"/>
        </w:rPr>
        <w:t xml:space="preserve"> </w:t>
      </w:r>
      <w:r w:rsidR="000E1871">
        <w:rPr>
          <w:rFonts w:ascii="Times New Roman" w:hAnsi="Times New Roman"/>
        </w:rPr>
        <w:t>1291</w:t>
      </w:r>
      <w:r w:rsidR="00E34AE4">
        <w:rPr>
          <w:rFonts w:ascii="Times New Roman" w:hAnsi="Times New Roman"/>
        </w:rPr>
        <w:t>.-</w:t>
      </w:r>
    </w:p>
    <w:p w:rsidR="005952EA" w:rsidRDefault="005952EA">
      <w:pPr>
        <w:rPr>
          <w:rFonts w:ascii="Times New Roman" w:hAnsi="Times New Roman"/>
        </w:rPr>
      </w:pPr>
    </w:p>
    <w:p w:rsidR="00E34AE4" w:rsidRDefault="002D575E">
      <w:pPr>
        <w:rPr>
          <w:rFonts w:ascii="Times New Roman" w:hAnsi="Times New Roman"/>
        </w:rPr>
      </w:pPr>
      <w:r w:rsidRPr="00A703B2">
        <w:rPr>
          <w:rFonts w:ascii="Times New Roman" w:hAnsi="Times New Roman"/>
          <w:u w:val="single"/>
        </w:rPr>
        <w:t>V</w:t>
      </w:r>
      <w:r w:rsidR="006F2884" w:rsidRPr="00A703B2">
        <w:rPr>
          <w:rFonts w:ascii="Times New Roman" w:hAnsi="Times New Roman"/>
          <w:u w:val="single"/>
        </w:rPr>
        <w:t>ISTO</w:t>
      </w:r>
      <w:r w:rsidRPr="00A703B2">
        <w:rPr>
          <w:rFonts w:ascii="Times New Roman" w:hAnsi="Times New Roman"/>
          <w:u w:val="single"/>
        </w:rPr>
        <w:t>:</w:t>
      </w:r>
      <w:r w:rsidR="005952EA">
        <w:rPr>
          <w:rFonts w:ascii="Times New Roman" w:hAnsi="Times New Roman"/>
        </w:rPr>
        <w:t xml:space="preserve"> </w:t>
      </w:r>
      <w:r w:rsidR="00435601">
        <w:rPr>
          <w:rFonts w:ascii="Times New Roman" w:hAnsi="Times New Roman"/>
        </w:rPr>
        <w:t xml:space="preserve">El contrato de concesión de fecha 20/12/00 celebrado entre la Municipalidad de Yerba Buena y la Firma Inversiones del Aconquija S.R.L. por el que se concesiona el uso de los predios de “La Olla” para la propuesta Arquitectónica, Construcción, Explotación y Mantenimiento del Centro Recreativo y Comercial </w:t>
      </w:r>
      <w:r w:rsidR="000E1871">
        <w:rPr>
          <w:rFonts w:ascii="Times New Roman" w:hAnsi="Times New Roman"/>
        </w:rPr>
        <w:t>L</w:t>
      </w:r>
      <w:r w:rsidR="00435601">
        <w:rPr>
          <w:rFonts w:ascii="Times New Roman" w:hAnsi="Times New Roman"/>
        </w:rPr>
        <w:t>a Olla por el plazo de treinta años a partir del 17/11/00; y</w:t>
      </w:r>
      <w:r w:rsidR="000E1871">
        <w:rPr>
          <w:rFonts w:ascii="Times New Roman" w:hAnsi="Times New Roman"/>
        </w:rPr>
        <w:t xml:space="preserve"> </w:t>
      </w:r>
    </w:p>
    <w:p w:rsidR="000D6F58" w:rsidRDefault="002D575E">
      <w:pPr>
        <w:rPr>
          <w:rFonts w:ascii="Times New Roman" w:hAnsi="Times New Roman"/>
        </w:rPr>
      </w:pPr>
      <w:r w:rsidRPr="00A703B2">
        <w:rPr>
          <w:rFonts w:ascii="Times New Roman" w:hAnsi="Times New Roman"/>
          <w:u w:val="single"/>
        </w:rPr>
        <w:t>C</w:t>
      </w:r>
      <w:r w:rsidR="006F2884" w:rsidRPr="00A703B2">
        <w:rPr>
          <w:rFonts w:ascii="Times New Roman" w:hAnsi="Times New Roman"/>
          <w:u w:val="single"/>
        </w:rPr>
        <w:t>ONSIDERANDO</w:t>
      </w:r>
      <w:r w:rsidRPr="00A703B2">
        <w:rPr>
          <w:rFonts w:ascii="Times New Roman" w:hAnsi="Times New Roman"/>
        </w:rPr>
        <w:t>:</w:t>
      </w:r>
    </w:p>
    <w:p w:rsidR="00435601" w:rsidRDefault="00435601">
      <w:pPr>
        <w:rPr>
          <w:rFonts w:ascii="Times New Roman" w:hAnsi="Times New Roman"/>
        </w:rPr>
      </w:pPr>
      <w:r>
        <w:rPr>
          <w:rFonts w:ascii="Times New Roman" w:hAnsi="Times New Roman"/>
        </w:rPr>
        <w:t xml:space="preserve">Que el procedimiento administrativo es el cauce formal de la serie de actos en que se concreta la actuación administrativa para la realización de un fin de interés </w:t>
      </w:r>
      <w:r w:rsidR="00042BC3">
        <w:rPr>
          <w:rFonts w:ascii="Times New Roman" w:hAnsi="Times New Roman"/>
        </w:rPr>
        <w:t>público</w:t>
      </w:r>
      <w:r>
        <w:rPr>
          <w:rFonts w:ascii="Times New Roman" w:hAnsi="Times New Roman"/>
        </w:rPr>
        <w:t xml:space="preserve"> y la garantía jurídica de los administrados;</w:t>
      </w:r>
    </w:p>
    <w:p w:rsidR="00435601" w:rsidRDefault="00435601">
      <w:pPr>
        <w:rPr>
          <w:rFonts w:ascii="Times New Roman" w:hAnsi="Times New Roman"/>
        </w:rPr>
      </w:pPr>
      <w:r>
        <w:rPr>
          <w:rFonts w:ascii="Times New Roman" w:hAnsi="Times New Roman"/>
        </w:rPr>
        <w:t xml:space="preserve">Que cuando no se hayan cumplido las formalidades </w:t>
      </w:r>
      <w:r w:rsidR="00042BC3">
        <w:rPr>
          <w:rFonts w:ascii="Times New Roman" w:hAnsi="Times New Roman"/>
        </w:rPr>
        <w:t>esenciales</w:t>
      </w:r>
      <w:r>
        <w:rPr>
          <w:rFonts w:ascii="Times New Roman" w:hAnsi="Times New Roman"/>
        </w:rPr>
        <w:t xml:space="preserve"> o se hayan realizado de manera irregular acarreará la invalidez del acto;</w:t>
      </w:r>
    </w:p>
    <w:p w:rsidR="00435601" w:rsidRDefault="00435601">
      <w:pPr>
        <w:rPr>
          <w:rFonts w:ascii="Times New Roman" w:hAnsi="Times New Roman"/>
        </w:rPr>
      </w:pPr>
      <w:r>
        <w:rPr>
          <w:rFonts w:ascii="Times New Roman" w:hAnsi="Times New Roman"/>
        </w:rPr>
        <w:t>Que igualmente un acto será invalidado cuando su objeto o contenido se encuentre en contradicción con normas jurídicas con las que debía conformarse;</w:t>
      </w:r>
    </w:p>
    <w:p w:rsidR="00435601" w:rsidRDefault="00435601">
      <w:pPr>
        <w:rPr>
          <w:rFonts w:ascii="Times New Roman" w:hAnsi="Times New Roman"/>
        </w:rPr>
      </w:pPr>
      <w:r>
        <w:rPr>
          <w:rFonts w:ascii="Times New Roman" w:hAnsi="Times New Roman"/>
        </w:rPr>
        <w:t>Que en el procedimiento instruido en el Expediente 2302-M17-M-00 para la formación del contrato de concesión se han violentado disposiciones legales vigentes y se ha omitido el cumplimiento de requisitos formales esenciales para la validez y eficacia del acto emitido;</w:t>
      </w:r>
    </w:p>
    <w:p w:rsidR="00435601" w:rsidRDefault="00435601">
      <w:pPr>
        <w:rPr>
          <w:rFonts w:ascii="Times New Roman" w:hAnsi="Times New Roman"/>
        </w:rPr>
      </w:pPr>
      <w:r>
        <w:rPr>
          <w:rFonts w:ascii="Times New Roman" w:hAnsi="Times New Roman"/>
        </w:rPr>
        <w:t>Que con la celebración del contrato de uso de los predios de “La Olla” se han violado expresamente: la Ordenanza Nº 613/94 de Planeamiento Urbano; la Ley Nº5731 de Transferencia del Predio de La Olla a la Municipalidad de Yerba Buena; la Ley Nº 5854 de Obras Públicas y la Ley Nº 6.705 del Régimen de Promoción y Resguardo de la Iniciativa Privada en la Reforma del Estado; sosteniéndose en estos actos administrativos de apertura y adjudicación de la Licitación Nº 1/2000 que a todas luces son nulos;</w:t>
      </w:r>
    </w:p>
    <w:p w:rsidR="00435601" w:rsidRDefault="00435601">
      <w:pPr>
        <w:rPr>
          <w:rFonts w:ascii="Times New Roman" w:hAnsi="Times New Roman"/>
        </w:rPr>
      </w:pPr>
      <w:r>
        <w:rPr>
          <w:rFonts w:ascii="Times New Roman" w:hAnsi="Times New Roman"/>
        </w:rPr>
        <w:t xml:space="preserve">Que el procedimiento </w:t>
      </w:r>
      <w:r w:rsidR="00C33A12">
        <w:rPr>
          <w:rFonts w:ascii="Times New Roman" w:hAnsi="Times New Roman"/>
        </w:rPr>
        <w:t xml:space="preserve">se inicia con la propuesta presentada por Inversiones del Aconquija S.R.L. en el marco de la Ley Nº 6705 Régimen de </w:t>
      </w:r>
      <w:r>
        <w:rPr>
          <w:rFonts w:ascii="Times New Roman" w:hAnsi="Times New Roman"/>
        </w:rPr>
        <w:t xml:space="preserve"> </w:t>
      </w:r>
      <w:r w:rsidR="00C33A12">
        <w:rPr>
          <w:rFonts w:ascii="Times New Roman" w:hAnsi="Times New Roman"/>
        </w:rPr>
        <w:t>Promoción y Resguardo de la Iniciativa Privada en la Reforma del Estado;</w:t>
      </w:r>
    </w:p>
    <w:p w:rsidR="00C33A12" w:rsidRDefault="00C33A12">
      <w:pPr>
        <w:rPr>
          <w:rFonts w:ascii="Times New Roman" w:hAnsi="Times New Roman"/>
        </w:rPr>
      </w:pPr>
      <w:r>
        <w:rPr>
          <w:rFonts w:ascii="Times New Roman" w:hAnsi="Times New Roman"/>
        </w:rPr>
        <w:lastRenderedPageBreak/>
        <w:t>Que la iniciativa formulada no cumple con los requisitos que establecen los Artículos 7 y 8 de la citada Ley;</w:t>
      </w:r>
    </w:p>
    <w:p w:rsidR="00C33A12" w:rsidRDefault="00C33A12">
      <w:pPr>
        <w:rPr>
          <w:rFonts w:ascii="Times New Roman" w:hAnsi="Times New Roman"/>
        </w:rPr>
      </w:pPr>
      <w:r>
        <w:rPr>
          <w:rFonts w:ascii="Times New Roman" w:hAnsi="Times New Roman"/>
        </w:rPr>
        <w:t>Que la Comisión Mixta para la Promoción y Resguardo de la Iniciativa Privada en la Reforma del Estado, fue creada por Decreto 362 de fecha 01/08/00, quedó integrada por el Interventor Municipal, el Secretario de Gobierno, el Secretario de Hacienda y el Director de Rentas y en el citado decreto no se indica quien preside la mencionada Comisión tal como lo requiere el Art.21 de Ley 6.705;</w:t>
      </w:r>
    </w:p>
    <w:p w:rsidR="00C33A12" w:rsidRDefault="00C33A12">
      <w:pPr>
        <w:rPr>
          <w:rFonts w:ascii="Times New Roman" w:hAnsi="Times New Roman"/>
        </w:rPr>
      </w:pPr>
      <w:r>
        <w:rPr>
          <w:rFonts w:ascii="Times New Roman" w:hAnsi="Times New Roman"/>
        </w:rPr>
        <w:t>Que a través del Acta firmada por los integrantes de la Comisión Mixta (el Secretario de Gobierno, el Secretario de Hacienda y el Director de Rentas de la Municipalidad), carece de la firma del entonces Interventor Municipal, declaran a la propuesta presentada como Proyecto Iniciador sin emitir juicio sobre la conveniencia de la iniciativa y las contrataciones tal como lo requiere el Artículo 2º de la citada Ley;</w:t>
      </w:r>
    </w:p>
    <w:p w:rsidR="00C33A12" w:rsidRDefault="00C33A12">
      <w:pPr>
        <w:rPr>
          <w:rFonts w:ascii="Times New Roman" w:hAnsi="Times New Roman"/>
        </w:rPr>
      </w:pPr>
      <w:r>
        <w:rPr>
          <w:rFonts w:ascii="Times New Roman" w:hAnsi="Times New Roman"/>
        </w:rPr>
        <w:t>Que, asimismo no consta en el expediente de referencia el cumplimiento del Art. 19 de la Ley 6.705 que requiere: “…la aprobación legislativa previa a la contratación…”</w:t>
      </w:r>
    </w:p>
    <w:p w:rsidR="00C33A12" w:rsidRDefault="00C33A12">
      <w:pPr>
        <w:rPr>
          <w:rFonts w:ascii="Times New Roman" w:hAnsi="Times New Roman"/>
        </w:rPr>
      </w:pPr>
      <w:r>
        <w:rPr>
          <w:rFonts w:ascii="Times New Roman" w:hAnsi="Times New Roman"/>
        </w:rPr>
        <w:t xml:space="preserve">Que, </w:t>
      </w:r>
      <w:r w:rsidR="008F74F0">
        <w:rPr>
          <w:rFonts w:ascii="Times New Roman" w:hAnsi="Times New Roman"/>
        </w:rPr>
        <w:t>encontrándose</w:t>
      </w:r>
      <w:r>
        <w:rPr>
          <w:rFonts w:ascii="Times New Roman" w:hAnsi="Times New Roman"/>
        </w:rPr>
        <w:t xml:space="preserve"> el Interventor Municipal investido de las funciones legislativas, debió haber dictado una ordenanza suficientemente fundada sobre el emprendimiento, a la luz de los incs. c) y d) del citado Art., merituando la conveniencia de la propuesta, la necesidad de extender más allá de los 20 años la concesión y la justificación de la explotación monopólica;</w:t>
      </w:r>
    </w:p>
    <w:p w:rsidR="00C33A12" w:rsidRDefault="00C33A12">
      <w:pPr>
        <w:rPr>
          <w:rFonts w:ascii="Times New Roman" w:hAnsi="Times New Roman"/>
        </w:rPr>
      </w:pPr>
      <w:r>
        <w:rPr>
          <w:rFonts w:ascii="Times New Roman" w:hAnsi="Times New Roman"/>
        </w:rPr>
        <w:t xml:space="preserve">Que, la declaración contenida en el acta de referencia no cumple con el Artículo 23 de la Ley </w:t>
      </w:r>
      <w:r w:rsidR="00042BC3">
        <w:rPr>
          <w:rFonts w:ascii="Times New Roman" w:hAnsi="Times New Roman"/>
        </w:rPr>
        <w:t xml:space="preserve">que exige </w:t>
      </w:r>
      <w:r w:rsidR="008F74F0">
        <w:rPr>
          <w:rFonts w:ascii="Times New Roman" w:hAnsi="Times New Roman"/>
        </w:rPr>
        <w:t>“La</w:t>
      </w:r>
      <w:r w:rsidR="00042BC3">
        <w:rPr>
          <w:rFonts w:ascii="Times New Roman" w:hAnsi="Times New Roman"/>
        </w:rPr>
        <w:t xml:space="preserve"> declaración de conveniencia de una iniciativa que emitiera la comisión deberá ser fundada y detallar especialmente los beneficios que redundarán de la misma bajo los términos del Artículo 1º…”;</w:t>
      </w:r>
    </w:p>
    <w:p w:rsidR="00042BC3" w:rsidRDefault="00042BC3">
      <w:pPr>
        <w:rPr>
          <w:rFonts w:ascii="Times New Roman" w:hAnsi="Times New Roman"/>
        </w:rPr>
      </w:pPr>
      <w:r>
        <w:rPr>
          <w:rFonts w:ascii="Times New Roman" w:hAnsi="Times New Roman"/>
        </w:rPr>
        <w:t xml:space="preserve">Que el Artículo 14 de la Ley, referido a los sistemas de contratación dice: “La adopción de uno u otro sistema será definido por la autoridad de aplicación </w:t>
      </w:r>
      <w:r w:rsidRPr="00042BC3">
        <w:rPr>
          <w:rFonts w:ascii="Times New Roman" w:hAnsi="Times New Roman"/>
          <w:u w:val="single"/>
        </w:rPr>
        <w:t>en base a un acto fundado como condición esencial para la validez del proceso de selección y del contrato</w:t>
      </w:r>
      <w:r>
        <w:rPr>
          <w:rFonts w:ascii="Times New Roman" w:hAnsi="Times New Roman"/>
          <w:u w:val="single"/>
        </w:rPr>
        <w:t xml:space="preserve">, </w:t>
      </w:r>
      <w:r>
        <w:rPr>
          <w:rFonts w:ascii="Times New Roman" w:hAnsi="Times New Roman"/>
        </w:rPr>
        <w:t xml:space="preserve"> el Tribunal de Cuentas deberá intervenir preventivamente observando, rechazando o convalidando las decisiones que adopte a este respecto”;</w:t>
      </w:r>
    </w:p>
    <w:p w:rsidR="00042BC3" w:rsidRDefault="00042BC3">
      <w:pPr>
        <w:rPr>
          <w:rFonts w:ascii="Times New Roman" w:hAnsi="Times New Roman"/>
        </w:rPr>
      </w:pPr>
      <w:r>
        <w:rPr>
          <w:rFonts w:ascii="Times New Roman" w:hAnsi="Times New Roman"/>
        </w:rPr>
        <w:t>Que la declaración de la supuesta Comisión no expresa los motivos o fundamentos requeridos por la Ley como condición esencial para la validez del proceso de selección y del contrato;</w:t>
      </w:r>
    </w:p>
    <w:p w:rsidR="00042BC3" w:rsidRDefault="00042BC3">
      <w:pPr>
        <w:rPr>
          <w:rFonts w:ascii="Times New Roman" w:hAnsi="Times New Roman"/>
        </w:rPr>
      </w:pPr>
      <w:r>
        <w:rPr>
          <w:rFonts w:ascii="Times New Roman" w:hAnsi="Times New Roman"/>
        </w:rPr>
        <w:t>Que deben ser suficientemente motivados los actos en que el interés público interfiere con el Derecho Privado e implica una concesión, autorización o privilegio;</w:t>
      </w:r>
    </w:p>
    <w:p w:rsidR="00042BC3" w:rsidRDefault="00042BC3">
      <w:pPr>
        <w:rPr>
          <w:rFonts w:ascii="Times New Roman" w:hAnsi="Times New Roman"/>
        </w:rPr>
      </w:pPr>
      <w:r>
        <w:rPr>
          <w:rFonts w:ascii="Times New Roman" w:hAnsi="Times New Roman"/>
        </w:rPr>
        <w:lastRenderedPageBreak/>
        <w:t>Que cuando la motivación es obligatoria por imperio legal, su falta o insuficiencia provoca necesariamente la invalidez del acto;</w:t>
      </w:r>
    </w:p>
    <w:p w:rsidR="00042BC3" w:rsidRDefault="00042BC3">
      <w:pPr>
        <w:rPr>
          <w:rFonts w:ascii="Times New Roman" w:hAnsi="Times New Roman"/>
        </w:rPr>
      </w:pPr>
      <w:r>
        <w:rPr>
          <w:rFonts w:ascii="Times New Roman" w:hAnsi="Times New Roman"/>
        </w:rPr>
        <w:t xml:space="preserve">Que por idénticos motivos resalta la invalidez del Decreto Nº 515/2000 que ordena el llamado a Licitación Pública sosteniendo como único fundamento que: “La </w:t>
      </w:r>
      <w:r w:rsidRPr="00042BC3">
        <w:rPr>
          <w:rFonts w:ascii="Times New Roman" w:hAnsi="Times New Roman"/>
          <w:i/>
        </w:rPr>
        <w:t>concesión</w:t>
      </w:r>
      <w:r>
        <w:rPr>
          <w:rFonts w:ascii="Times New Roman" w:hAnsi="Times New Roman"/>
        </w:rPr>
        <w:t xml:space="preserve"> de las obras de la olla se encuentra íntimamente relacionado con lo dispuesto por la Ley 6705”;</w:t>
      </w:r>
    </w:p>
    <w:p w:rsidR="00042BC3" w:rsidRDefault="00042BC3">
      <w:pPr>
        <w:rPr>
          <w:rFonts w:ascii="Times New Roman" w:hAnsi="Times New Roman"/>
        </w:rPr>
      </w:pPr>
      <w:r>
        <w:rPr>
          <w:rFonts w:ascii="Times New Roman" w:hAnsi="Times New Roman"/>
        </w:rPr>
        <w:t>Que la sola invocación de estar íntimamente relacionado con lo dispuesto por la Ley 6705 resulta harto insuficiente para sostener jurídicamente la decisión tomada por lo que el acto deviene necesariamente nulo;</w:t>
      </w:r>
    </w:p>
    <w:p w:rsidR="00042BC3" w:rsidRDefault="00042BC3">
      <w:pPr>
        <w:rPr>
          <w:rFonts w:ascii="Times New Roman" w:hAnsi="Times New Roman"/>
          <w:i/>
        </w:rPr>
      </w:pPr>
      <w:r>
        <w:rPr>
          <w:rFonts w:ascii="Times New Roman" w:hAnsi="Times New Roman"/>
        </w:rPr>
        <w:t xml:space="preserve">Que el trámite del acto licitatorio adolece de serias irregularidades que lo invalidan por </w:t>
      </w:r>
      <w:r w:rsidR="008F74F0">
        <w:rPr>
          <w:rFonts w:ascii="Times New Roman" w:hAnsi="Times New Roman"/>
        </w:rPr>
        <w:t>sí</w:t>
      </w:r>
      <w:r>
        <w:rPr>
          <w:rFonts w:ascii="Times New Roman" w:hAnsi="Times New Roman"/>
        </w:rPr>
        <w:t xml:space="preserve"> mismo sin atender a sus antecedentes igualmente invalidantes. El contratista presentado y finalmente seleccionado no cumple con el Artículo 19 y concordantes de la Ley de Obras Públicas Nº 5854 que dispone “</w:t>
      </w:r>
      <w:r w:rsidRPr="00042BC3">
        <w:rPr>
          <w:rFonts w:ascii="Times New Roman" w:hAnsi="Times New Roman"/>
          <w:i/>
        </w:rPr>
        <w:t>Los concurrentes a las Licitaciones Públicas y Privadas deberán estar inscriptos y habilitados en el Registro General de Construcciones de Obras Públicas y disponer además de la calificación de su capacidad de ejecución”;</w:t>
      </w:r>
    </w:p>
    <w:p w:rsidR="00042BC3" w:rsidRDefault="00042BC3">
      <w:pPr>
        <w:rPr>
          <w:rFonts w:ascii="Times New Roman" w:hAnsi="Times New Roman"/>
        </w:rPr>
      </w:pPr>
      <w:r>
        <w:rPr>
          <w:rFonts w:ascii="Times New Roman" w:hAnsi="Times New Roman"/>
        </w:rPr>
        <w:t>Que en el régimen jurídico de la contratación administrativa, la Administración está obligada a admitir en el procedimiento, solo las ofertas presentadas por quienes se encuentren inscriptos en los respectivos registros y no estén afectados por alguna causal de exclusión;</w:t>
      </w:r>
    </w:p>
    <w:p w:rsidR="00042BC3" w:rsidRDefault="00042BC3">
      <w:pPr>
        <w:rPr>
          <w:rFonts w:ascii="Times New Roman" w:hAnsi="Times New Roman"/>
          <w:i/>
        </w:rPr>
      </w:pPr>
      <w:r>
        <w:rPr>
          <w:rFonts w:ascii="Times New Roman" w:hAnsi="Times New Roman"/>
        </w:rPr>
        <w:t>Que la oferta presentada por la firma Inversiones del Aconquija S.R.L. no se ajusta a las exigencias formales y sustanciales de los pliegos de bases y condiciones licitatorios. El Artículo 12 de los pliegos en el Capitulo de condiciones particulares, referido al sobre Nº 1 dispone que: “</w:t>
      </w:r>
      <w:r>
        <w:rPr>
          <w:rFonts w:ascii="Times New Roman" w:hAnsi="Times New Roman"/>
          <w:i/>
        </w:rPr>
        <w:t>Deberá contener propuesta arquitectónica: a) Planos de Obra de la obra a ejecutar según lo establecido en el Articulo 41, inc. a) y b) de las condiciones generales, con la documentación técnica necesaria y suficiente para permitir su evaluación arquitectónica y técnica. Planos Generales: Planos de Conjunto-Plantas-Cortes y Frentes- Especificaciones Técnicas”.</w:t>
      </w:r>
    </w:p>
    <w:p w:rsidR="00E468CB" w:rsidRDefault="00E468CB">
      <w:pPr>
        <w:rPr>
          <w:rFonts w:ascii="Times New Roman" w:hAnsi="Times New Roman"/>
        </w:rPr>
      </w:pPr>
      <w:r>
        <w:rPr>
          <w:rFonts w:ascii="Times New Roman" w:hAnsi="Times New Roman"/>
        </w:rPr>
        <w:t>Que tal documentación requerida por los pliegos jamás fue presentada por el proponente. No existe en todo el Expediente plano alguno que permita conocer que es lo que se va a construir y menos aún realizar cualquier tipo de evaluación técnica o arquitectónica;</w:t>
      </w:r>
    </w:p>
    <w:p w:rsidR="00E468CB" w:rsidRDefault="00E468CB">
      <w:pPr>
        <w:rPr>
          <w:rFonts w:ascii="Times New Roman" w:hAnsi="Times New Roman"/>
        </w:rPr>
      </w:pPr>
      <w:r>
        <w:rPr>
          <w:rFonts w:ascii="Times New Roman" w:hAnsi="Times New Roman"/>
        </w:rPr>
        <w:t>Que la memoria descriptiva presentada no reviste los caracteres de una verdadera enunciación de los distintos aspectos de la obra a realizar;</w:t>
      </w:r>
    </w:p>
    <w:p w:rsidR="00E468CB" w:rsidRDefault="00E468CB">
      <w:pPr>
        <w:rPr>
          <w:rFonts w:ascii="Times New Roman" w:hAnsi="Times New Roman"/>
        </w:rPr>
      </w:pPr>
      <w:r>
        <w:rPr>
          <w:rFonts w:ascii="Times New Roman" w:hAnsi="Times New Roman"/>
        </w:rPr>
        <w:t>Que estas graves irregularidades vician totalmente el acto licitatorio;</w:t>
      </w:r>
    </w:p>
    <w:p w:rsidR="00E468CB" w:rsidRDefault="00E468CB">
      <w:pPr>
        <w:rPr>
          <w:rFonts w:ascii="Times New Roman" w:hAnsi="Times New Roman"/>
        </w:rPr>
      </w:pPr>
      <w:r>
        <w:rPr>
          <w:rFonts w:ascii="Times New Roman" w:hAnsi="Times New Roman"/>
        </w:rPr>
        <w:t xml:space="preserve">Que el objetivo del proceso licitatorio y su formulación mediante el contrato de concesión  celebrado son expresamente contrarios a las disposiciones del Articulo 2º de la Ley 5731, por la </w:t>
      </w:r>
      <w:r>
        <w:rPr>
          <w:rFonts w:ascii="Times New Roman" w:hAnsi="Times New Roman"/>
        </w:rPr>
        <w:lastRenderedPageBreak/>
        <w:t>que se transfiere a la Municipalidad de Yerba Buena el predio de La Olla con destino preciso: “Reforestación y Parquización, construcción de un complejo deportivo y barrio de viviendas”; en tanto que el contrato de concesión está destinado a la const</w:t>
      </w:r>
      <w:r w:rsidR="00DD6237">
        <w:rPr>
          <w:rFonts w:ascii="Times New Roman" w:hAnsi="Times New Roman"/>
        </w:rPr>
        <w:t xml:space="preserve">rucción, explotación y mantenimiento del Centro Recreativo y Comercial La Olla; </w:t>
      </w:r>
    </w:p>
    <w:p w:rsidR="00DD6237" w:rsidRDefault="00DD6237">
      <w:pPr>
        <w:rPr>
          <w:rFonts w:ascii="Times New Roman" w:hAnsi="Times New Roman"/>
          <w:i/>
        </w:rPr>
      </w:pPr>
      <w:r>
        <w:rPr>
          <w:rFonts w:ascii="Times New Roman" w:hAnsi="Times New Roman"/>
        </w:rPr>
        <w:t>Que el objeto del contrato de concesión celebrado es contrario a expresas normas contenidas en el Código de Ordenamiento Urbano de la Municipalidad, toda vez que dicha área se verá saturada habitacional y ecológicamente por encontrarse en la denominada zona amarilla: “</w:t>
      </w:r>
      <w:r>
        <w:rPr>
          <w:rFonts w:ascii="Times New Roman" w:hAnsi="Times New Roman"/>
          <w:i/>
        </w:rPr>
        <w:t xml:space="preserve">El tratamiento en cuanto a los usos del suelo serán </w:t>
      </w:r>
      <w:r w:rsidR="008F74F0">
        <w:rPr>
          <w:rFonts w:ascii="Times New Roman" w:hAnsi="Times New Roman"/>
          <w:i/>
        </w:rPr>
        <w:t>más</w:t>
      </w:r>
      <w:r>
        <w:rPr>
          <w:rFonts w:ascii="Times New Roman" w:hAnsi="Times New Roman"/>
          <w:i/>
        </w:rPr>
        <w:t xml:space="preserve"> restrictos hasta tanto se hagan las obras de infraestructura necesarios para evitar inundaciones e impermeabilizaciones de los suelos”</w:t>
      </w:r>
    </w:p>
    <w:p w:rsidR="00DD6237" w:rsidRDefault="00DD6237">
      <w:pPr>
        <w:rPr>
          <w:rFonts w:ascii="Times New Roman" w:hAnsi="Times New Roman"/>
          <w:i/>
        </w:rPr>
      </w:pPr>
      <w:r>
        <w:rPr>
          <w:rFonts w:ascii="Times New Roman" w:hAnsi="Times New Roman"/>
        </w:rPr>
        <w:t>Que la mencionada zona amarilla; “</w:t>
      </w:r>
      <w:r w:rsidRPr="00DD6237">
        <w:rPr>
          <w:rFonts w:ascii="Times New Roman" w:hAnsi="Times New Roman"/>
          <w:i/>
        </w:rPr>
        <w:t>Es una franja en la cual hay que tener precaución ya que es una zona de riego, las densidades deben bajar considerablemente debido a la proximidad de la montaña, por lo tanto la densidad potencial debe llegar a 150 habitantes por hectárea. No existe la vía de excepción ya que es una barrera ecológica que debe ser preservada”;</w:t>
      </w:r>
    </w:p>
    <w:p w:rsidR="00DD6237" w:rsidRDefault="00DD6237">
      <w:pPr>
        <w:rPr>
          <w:rFonts w:ascii="Times New Roman" w:hAnsi="Times New Roman"/>
        </w:rPr>
      </w:pPr>
      <w:r>
        <w:rPr>
          <w:rFonts w:ascii="Times New Roman" w:hAnsi="Times New Roman"/>
        </w:rPr>
        <w:t>Que tanto el proceso desarrollado así como el contrato celebrado en definitiva son nulos de nulidad absoluta e insanable en los términos del Artículo 156 de la Ordenanza de Procedimientos Administrativos vigente en ese Municipio por adopción dispuesta por Ordenanza Nº 137/82;</w:t>
      </w:r>
    </w:p>
    <w:p w:rsidR="00DD6237" w:rsidRDefault="00DD6237">
      <w:pPr>
        <w:rPr>
          <w:rFonts w:ascii="Times New Roman" w:hAnsi="Times New Roman"/>
        </w:rPr>
      </w:pPr>
      <w:r>
        <w:rPr>
          <w:rFonts w:ascii="Times New Roman" w:hAnsi="Times New Roman"/>
        </w:rPr>
        <w:t xml:space="preserve">Que atento a las facultades del Articulo 167 de la señalada Ordenanza de Procedimientos Administrativos, en concordancia con el dictamen jurídico emitido a requerimiento de esta Intervención a sus efectos y en uso de las expresas facultades conferidas por el Decreto Nº 863/14 (MGyJ) </w:t>
      </w:r>
      <w:r w:rsidR="008F74F0">
        <w:rPr>
          <w:rFonts w:ascii="Times New Roman" w:hAnsi="Times New Roman"/>
        </w:rPr>
        <w:t>de fecha 06 de Mayo de 2003, emitido por el Poder Ejecutivo Provincial,</w:t>
      </w:r>
    </w:p>
    <w:p w:rsidR="008F74F0" w:rsidRPr="00DD6237" w:rsidRDefault="008F74F0">
      <w:pPr>
        <w:rPr>
          <w:rFonts w:ascii="Times New Roman" w:hAnsi="Times New Roman"/>
        </w:rPr>
      </w:pPr>
    </w:p>
    <w:p w:rsidR="008F74F0" w:rsidRPr="00A703B2" w:rsidRDefault="002D575E" w:rsidP="008F74F0">
      <w:pPr>
        <w:jc w:val="center"/>
        <w:rPr>
          <w:rFonts w:ascii="Times New Roman" w:hAnsi="Times New Roman"/>
          <w:u w:val="single"/>
        </w:rPr>
      </w:pPr>
      <w:r w:rsidRPr="00A703B2">
        <w:rPr>
          <w:rFonts w:ascii="Times New Roman" w:hAnsi="Times New Roman"/>
          <w:u w:val="single"/>
        </w:rPr>
        <w:t xml:space="preserve">EL </w:t>
      </w:r>
      <w:r w:rsidR="008F74F0">
        <w:rPr>
          <w:rFonts w:ascii="Times New Roman" w:hAnsi="Times New Roman"/>
          <w:u w:val="single"/>
        </w:rPr>
        <w:t xml:space="preserve"> INTERVENTOR MUNICIPAL SANCIONA Y PROMULGA</w:t>
      </w:r>
    </w:p>
    <w:p w:rsidR="002D575E" w:rsidRPr="00A703B2" w:rsidRDefault="002D575E" w:rsidP="00A703B2">
      <w:pPr>
        <w:jc w:val="center"/>
        <w:rPr>
          <w:rFonts w:ascii="Times New Roman" w:hAnsi="Times New Roman"/>
          <w:u w:val="single"/>
        </w:rPr>
      </w:pPr>
      <w:r w:rsidRPr="00A703B2">
        <w:rPr>
          <w:rFonts w:ascii="Times New Roman" w:hAnsi="Times New Roman"/>
          <w:u w:val="single"/>
        </w:rPr>
        <w:t xml:space="preserve"> CON FUERZA DE ORDENANZA:</w:t>
      </w:r>
    </w:p>
    <w:p w:rsidR="000D6F58" w:rsidRDefault="005952EA" w:rsidP="000D6F58">
      <w:pPr>
        <w:rPr>
          <w:rFonts w:ascii="Times New Roman" w:hAnsi="Times New Roman"/>
        </w:rPr>
      </w:pPr>
      <w:r w:rsidRPr="008F74F0">
        <w:rPr>
          <w:rFonts w:ascii="Times New Roman" w:hAnsi="Times New Roman"/>
          <w:b/>
          <w:u w:val="single"/>
        </w:rPr>
        <w:t>ARTICULO PRIMERO:</w:t>
      </w:r>
      <w:r w:rsidRPr="008F74F0">
        <w:rPr>
          <w:rFonts w:ascii="Times New Roman" w:hAnsi="Times New Roman"/>
          <w:b/>
        </w:rPr>
        <w:t xml:space="preserve"> </w:t>
      </w:r>
      <w:r w:rsidR="008F74F0" w:rsidRPr="008F74F0">
        <w:rPr>
          <w:rFonts w:ascii="Times New Roman" w:hAnsi="Times New Roman"/>
          <w:b/>
        </w:rPr>
        <w:t>REVOCASE</w:t>
      </w:r>
      <w:r w:rsidR="008F74F0">
        <w:rPr>
          <w:rFonts w:ascii="Times New Roman" w:hAnsi="Times New Roman"/>
        </w:rPr>
        <w:t xml:space="preserve"> el Contrato de concesión de fecha 20 de Diciembre de 2000 celebrado entre la Municipalidad de Yerba Buena y la firma Inversiones Del Aconquija S.R.L. para la propuesta Arquitectónica, Construcción, Explotación y Mantenimiento del Centro Recreativo y Comercial La Olla, por las razones expuestas en los Considerandos de la presente Ordenanza.-</w:t>
      </w:r>
    </w:p>
    <w:p w:rsidR="008F74F0" w:rsidRDefault="008F74F0" w:rsidP="000D6F58">
      <w:pPr>
        <w:rPr>
          <w:rFonts w:ascii="Times New Roman" w:hAnsi="Times New Roman"/>
        </w:rPr>
      </w:pPr>
      <w:r w:rsidRPr="008F74F0">
        <w:rPr>
          <w:rFonts w:ascii="Times New Roman" w:hAnsi="Times New Roman"/>
          <w:b/>
          <w:u w:val="single"/>
        </w:rPr>
        <w:t>ARTICULO SEGUNDO:</w:t>
      </w:r>
      <w:r w:rsidRPr="008F74F0">
        <w:rPr>
          <w:rFonts w:ascii="Times New Roman" w:hAnsi="Times New Roman"/>
          <w:b/>
        </w:rPr>
        <w:t xml:space="preserve"> DECLARANSE NULOS</w:t>
      </w:r>
      <w:r>
        <w:rPr>
          <w:rFonts w:ascii="Times New Roman" w:hAnsi="Times New Roman"/>
        </w:rPr>
        <w:t xml:space="preserve"> por imperio de los Artículos 156 y 167 de la Ordenanza de Procedimientos Administrativos vigente en este Municipio, los Decretos Nº 515 de fecha 02/10/00, Nº 523 de fecha 27/10/00 y Nº 629 de fecha 17/11/00.-</w:t>
      </w:r>
    </w:p>
    <w:p w:rsidR="007B73E1" w:rsidRDefault="007B73E1" w:rsidP="003E657F">
      <w:pPr>
        <w:rPr>
          <w:rFonts w:ascii="Times New Roman" w:hAnsi="Times New Roman"/>
        </w:rPr>
      </w:pPr>
    </w:p>
    <w:p w:rsidR="008F74F0" w:rsidRDefault="003E657F" w:rsidP="003E657F">
      <w:pPr>
        <w:rPr>
          <w:rFonts w:ascii="Times New Roman" w:hAnsi="Times New Roman"/>
        </w:rPr>
      </w:pPr>
      <w:r w:rsidRPr="008F74F0">
        <w:rPr>
          <w:rFonts w:ascii="Times New Roman" w:hAnsi="Times New Roman"/>
          <w:b/>
          <w:u w:val="single"/>
        </w:rPr>
        <w:t xml:space="preserve">ARTÍCULO </w:t>
      </w:r>
      <w:r w:rsidR="008F74F0" w:rsidRPr="008F74F0">
        <w:rPr>
          <w:rFonts w:ascii="Times New Roman" w:hAnsi="Times New Roman"/>
          <w:b/>
          <w:u w:val="single"/>
        </w:rPr>
        <w:t>TERCERO:</w:t>
      </w:r>
      <w:r w:rsidR="008F74F0" w:rsidRPr="008F74F0">
        <w:rPr>
          <w:rFonts w:ascii="Times New Roman" w:hAnsi="Times New Roman"/>
          <w:b/>
        </w:rPr>
        <w:t xml:space="preserve"> INTIMASE</w:t>
      </w:r>
      <w:r w:rsidR="008F74F0">
        <w:rPr>
          <w:rFonts w:ascii="Times New Roman" w:hAnsi="Times New Roman"/>
        </w:rPr>
        <w:t xml:space="preserve"> a la Firma Inversiones del Aconquija S.R.L. a restituir en el plazo de 10 días el inmueble objeto del contrato, bajo apercibimiento de requerir judicialmente la restitución.-</w:t>
      </w:r>
    </w:p>
    <w:p w:rsidR="003E657F" w:rsidRPr="008F74F0" w:rsidRDefault="008F74F0" w:rsidP="003E657F">
      <w:pPr>
        <w:rPr>
          <w:rFonts w:ascii="Times New Roman" w:hAnsi="Times New Roman"/>
          <w:u w:val="single"/>
        </w:rPr>
      </w:pPr>
      <w:r w:rsidRPr="008F74F0">
        <w:rPr>
          <w:rFonts w:ascii="Times New Roman" w:hAnsi="Times New Roman"/>
          <w:b/>
          <w:u w:val="single"/>
        </w:rPr>
        <w:t>ARTICULO CUARTO:</w:t>
      </w:r>
      <w:r w:rsidRPr="008F74F0">
        <w:rPr>
          <w:rFonts w:ascii="Times New Roman" w:hAnsi="Times New Roman"/>
        </w:rPr>
        <w:t xml:space="preserve"> </w:t>
      </w:r>
      <w:r w:rsidR="003E657F" w:rsidRPr="00C049C7">
        <w:rPr>
          <w:rFonts w:ascii="Times New Roman" w:hAnsi="Times New Roman"/>
        </w:rPr>
        <w:t>COMUNÍQUESE</w:t>
      </w:r>
      <w:r w:rsidR="003E657F">
        <w:rPr>
          <w:rFonts w:ascii="Times New Roman" w:hAnsi="Times New Roman"/>
        </w:rPr>
        <w:t xml:space="preserve">, </w:t>
      </w:r>
      <w:r w:rsidR="003E657F" w:rsidRPr="00C049C7">
        <w:rPr>
          <w:rFonts w:ascii="Times New Roman" w:hAnsi="Times New Roman"/>
        </w:rPr>
        <w:t>CÓPIESE y ARCHÍVESE.-</w:t>
      </w:r>
    </w:p>
    <w:p w:rsidR="006F2884" w:rsidRPr="00A703B2" w:rsidRDefault="006F2884">
      <w:pPr>
        <w:rPr>
          <w:rFonts w:ascii="Times New Roman" w:hAnsi="Times New Roman"/>
        </w:rPr>
      </w:pPr>
    </w:p>
    <w:sectPr w:rsidR="006F2884" w:rsidRPr="00A703B2" w:rsidSect="00065E25">
      <w:footerReference w:type="default" r:id="rId7"/>
      <w:pgSz w:w="11906" w:h="16838"/>
      <w:pgMar w:top="1417" w:right="1701" w:bottom="1417" w:left="1701" w:header="708" w:footer="708" w:gutter="0"/>
      <w:pgNumType w:start="135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01EF" w:rsidRDefault="00D001EF" w:rsidP="00D001EF">
      <w:pPr>
        <w:spacing w:after="0" w:line="240" w:lineRule="auto"/>
      </w:pPr>
      <w:r>
        <w:separator/>
      </w:r>
    </w:p>
  </w:endnote>
  <w:endnote w:type="continuationSeparator" w:id="0">
    <w:p w:rsidR="00D001EF" w:rsidRDefault="00D001EF" w:rsidP="00D001E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1EF" w:rsidRPr="00FC25BD" w:rsidRDefault="00D001E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01EF" w:rsidRDefault="00D001EF" w:rsidP="00D001EF">
      <w:pPr>
        <w:spacing w:after="0" w:line="240" w:lineRule="auto"/>
      </w:pPr>
      <w:r>
        <w:separator/>
      </w:r>
    </w:p>
  </w:footnote>
  <w:footnote w:type="continuationSeparator" w:id="0">
    <w:p w:rsidR="00D001EF" w:rsidRDefault="00D001EF" w:rsidP="00D001E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0E1871"/>
    <w:rsid w:val="00042BC3"/>
    <w:rsid w:val="00065E25"/>
    <w:rsid w:val="000776C1"/>
    <w:rsid w:val="000D6F58"/>
    <w:rsid w:val="000E1871"/>
    <w:rsid w:val="00222916"/>
    <w:rsid w:val="0022590E"/>
    <w:rsid w:val="002D575E"/>
    <w:rsid w:val="003D144A"/>
    <w:rsid w:val="003E657F"/>
    <w:rsid w:val="00435601"/>
    <w:rsid w:val="005952EA"/>
    <w:rsid w:val="006F2884"/>
    <w:rsid w:val="007B73E1"/>
    <w:rsid w:val="007E6ABD"/>
    <w:rsid w:val="007F1AB9"/>
    <w:rsid w:val="008F74F0"/>
    <w:rsid w:val="00A703B2"/>
    <w:rsid w:val="00B923D8"/>
    <w:rsid w:val="00BB2ED4"/>
    <w:rsid w:val="00C049C7"/>
    <w:rsid w:val="00C33A12"/>
    <w:rsid w:val="00CE1123"/>
    <w:rsid w:val="00D001EF"/>
    <w:rsid w:val="00DD6237"/>
    <w:rsid w:val="00E34AE4"/>
    <w:rsid w:val="00E468CB"/>
    <w:rsid w:val="00E47BB3"/>
    <w:rsid w:val="00F71F7E"/>
    <w:rsid w:val="00FC25B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D00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001EF"/>
    <w:rPr>
      <w:sz w:val="22"/>
      <w:szCs w:val="22"/>
      <w:lang w:eastAsia="en-US"/>
    </w:rPr>
  </w:style>
  <w:style w:type="paragraph" w:styleId="Piedepgina">
    <w:name w:val="footer"/>
    <w:basedOn w:val="Normal"/>
    <w:link w:val="PiedepginaCar"/>
    <w:uiPriority w:val="99"/>
    <w:semiHidden/>
    <w:unhideWhenUsed/>
    <w:rsid w:val="00D00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001EF"/>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83</TotalTime>
  <Pages>5</Pages>
  <Words>1522</Words>
  <Characters>8375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7</cp:revision>
  <cp:lastPrinted>2018-04-26T15:01:00Z</cp:lastPrinted>
  <dcterms:created xsi:type="dcterms:W3CDTF">2017-04-17T20:09:00Z</dcterms:created>
  <dcterms:modified xsi:type="dcterms:W3CDTF">2018-04-26T15:01:00Z</dcterms:modified>
</cp:coreProperties>
</file>