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1A96" w:rsidRPr="006E1A96" w:rsidRDefault="006E1A96" w:rsidP="006E1A96">
      <w:pPr>
        <w:pStyle w:val="Textoindependiente"/>
        <w:keepNext/>
        <w:spacing w:after="240" w:line="240" w:lineRule="auto"/>
        <w:jc w:val="right"/>
        <w:rPr>
          <w:rFonts w:ascii="Times New Roman" w:hAnsi="Times New Roman"/>
          <w:bCs/>
          <w:sz w:val="24"/>
        </w:rPr>
      </w:pPr>
      <w:r w:rsidRPr="006E1A96">
        <w:rPr>
          <w:rFonts w:ascii="Times New Roman" w:hAnsi="Times New Roman"/>
          <w:bCs/>
          <w:sz w:val="24"/>
        </w:rPr>
        <w:t>Yerba Buena, 18 de Noviembre de 2004</w:t>
      </w:r>
    </w:p>
    <w:p w:rsidR="006E1A96" w:rsidRPr="006E1A96" w:rsidRDefault="006E1A96" w:rsidP="006E1A96">
      <w:pPr>
        <w:pStyle w:val="Textoindependiente"/>
        <w:keepNext/>
        <w:spacing w:before="240" w:after="360" w:line="240" w:lineRule="auto"/>
        <w:jc w:val="left"/>
        <w:rPr>
          <w:rFonts w:ascii="Times New Roman" w:hAnsi="Times New Roman"/>
          <w:b/>
          <w:bCs/>
          <w:sz w:val="24"/>
        </w:rPr>
      </w:pPr>
      <w:r w:rsidRPr="006E1A96">
        <w:rPr>
          <w:rFonts w:ascii="Times New Roman" w:hAnsi="Times New Roman"/>
          <w:b/>
          <w:bCs/>
          <w:sz w:val="24"/>
        </w:rPr>
        <w:t>ORDENANZA Nº 1408</w:t>
      </w:r>
    </w:p>
    <w:p w:rsidR="006E1A96" w:rsidRPr="006E1A96" w:rsidRDefault="006E1A96" w:rsidP="006E1A96">
      <w:pPr>
        <w:pStyle w:val="Textoindependiente"/>
        <w:keepNext/>
        <w:spacing w:before="240" w:after="120" w:line="240" w:lineRule="auto"/>
        <w:jc w:val="left"/>
        <w:rPr>
          <w:rFonts w:ascii="Times New Roman" w:hAnsi="Times New Roman"/>
          <w:b/>
          <w:bCs/>
          <w:sz w:val="24"/>
        </w:rPr>
      </w:pPr>
      <w:r w:rsidRPr="006E1A96">
        <w:rPr>
          <w:rFonts w:ascii="Times New Roman" w:hAnsi="Times New Roman"/>
          <w:b/>
          <w:bCs/>
          <w:sz w:val="24"/>
        </w:rPr>
        <w:t xml:space="preserve">VISTO: </w:t>
      </w:r>
    </w:p>
    <w:p w:rsidR="001430D2" w:rsidRPr="006E1A96" w:rsidRDefault="006E1A96" w:rsidP="006E1A96">
      <w:pPr>
        <w:pStyle w:val="Textoindependiente"/>
        <w:keepNext/>
        <w:spacing w:after="120" w:line="240" w:lineRule="auto"/>
        <w:jc w:val="left"/>
        <w:rPr>
          <w:rFonts w:ascii="Times New Roman" w:hAnsi="Times New Roman"/>
          <w:sz w:val="24"/>
        </w:rPr>
      </w:pPr>
      <w:r>
        <w:rPr>
          <w:rFonts w:ascii="Times New Roman" w:hAnsi="Times New Roman"/>
          <w:bCs/>
          <w:sz w:val="24"/>
        </w:rPr>
        <w:t xml:space="preserve"> </w:t>
      </w:r>
      <w:r w:rsidR="0093602A" w:rsidRPr="006E1A96">
        <w:rPr>
          <w:rFonts w:ascii="Times New Roman" w:hAnsi="Times New Roman"/>
          <w:sz w:val="24"/>
        </w:rPr>
        <w:t>El Expediente N</w:t>
      </w:r>
      <w:r>
        <w:rPr>
          <w:rFonts w:ascii="Times New Roman" w:hAnsi="Times New Roman"/>
          <w:sz w:val="24"/>
        </w:rPr>
        <w:t xml:space="preserve">º </w:t>
      </w:r>
      <w:r w:rsidR="0093602A" w:rsidRPr="006E1A96">
        <w:rPr>
          <w:rFonts w:ascii="Times New Roman" w:hAnsi="Times New Roman"/>
          <w:sz w:val="24"/>
        </w:rPr>
        <w:t>593-Y-03, mediante el cual el Departamento Ejecutivo Municipal eleva toda la documentación técnica referida a los Planos de Mensura, Unificación y División correspondiente al Barrio “60 Viviendas I y II”, construido por el Instituto Provincial de la Vivienda; y</w:t>
      </w:r>
    </w:p>
    <w:p w:rsidR="006E1A96" w:rsidRPr="006E1A96" w:rsidRDefault="006E1A96" w:rsidP="006E1A96">
      <w:pPr>
        <w:pStyle w:val="Textoindependiente"/>
        <w:keepNext/>
        <w:spacing w:before="240" w:after="120" w:line="240" w:lineRule="auto"/>
        <w:jc w:val="left"/>
        <w:rPr>
          <w:rFonts w:ascii="Times New Roman" w:hAnsi="Times New Roman"/>
          <w:b/>
          <w:bCs/>
          <w:sz w:val="24"/>
        </w:rPr>
      </w:pPr>
      <w:r w:rsidRPr="006E1A96">
        <w:rPr>
          <w:rFonts w:ascii="Times New Roman" w:hAnsi="Times New Roman"/>
          <w:b/>
          <w:bCs/>
          <w:sz w:val="24"/>
        </w:rPr>
        <w:t xml:space="preserve">CONSIDERANDO: </w:t>
      </w:r>
    </w:p>
    <w:p w:rsidR="00CA5467" w:rsidRPr="006E1A96" w:rsidRDefault="006E1A96" w:rsidP="006E1A96">
      <w:pPr>
        <w:pStyle w:val="Textoindependiente"/>
        <w:keepNext/>
        <w:spacing w:after="120" w:line="240" w:lineRule="auto"/>
        <w:jc w:val="left"/>
        <w:rPr>
          <w:rFonts w:ascii="Times New Roman" w:hAnsi="Times New Roman"/>
          <w:sz w:val="24"/>
        </w:rPr>
      </w:pPr>
      <w:r>
        <w:rPr>
          <w:rFonts w:ascii="Times New Roman" w:hAnsi="Times New Roman"/>
          <w:bCs/>
          <w:sz w:val="24"/>
        </w:rPr>
        <w:t xml:space="preserve"> </w:t>
      </w:r>
      <w:r w:rsidR="0093602A" w:rsidRPr="006E1A96">
        <w:rPr>
          <w:rFonts w:ascii="Times New Roman" w:hAnsi="Times New Roman"/>
          <w:sz w:val="24"/>
        </w:rPr>
        <w:t>Que el mencionado Barrio se construyó dentro del marco de la Operatoria Municipios y el Departamento Ejecutivo Municipal solicita que este H. Cuerpo analice y resuelva sobre la donación efectuada a este Municipio por el Instituto Provincial de la Vivienda de las fracciones destinadas a calles y ochavas de la citada obra.</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mediante Expediente N</w:t>
      </w:r>
      <w:r w:rsidR="006E1A96">
        <w:rPr>
          <w:rFonts w:ascii="Times New Roman" w:hAnsi="Times New Roman"/>
          <w:sz w:val="24"/>
        </w:rPr>
        <w:t xml:space="preserve">º </w:t>
      </w:r>
      <w:r w:rsidRPr="006E1A96">
        <w:rPr>
          <w:rFonts w:ascii="Times New Roman" w:hAnsi="Times New Roman"/>
          <w:sz w:val="24"/>
        </w:rPr>
        <w:t>1424/99, se eleva anteproyecto de Propiedad Horizontal a llevarse a cabo en los Padrones N</w:t>
      </w:r>
      <w:r w:rsidR="006E1A96">
        <w:rPr>
          <w:rFonts w:ascii="Times New Roman" w:hAnsi="Times New Roman"/>
          <w:sz w:val="24"/>
        </w:rPr>
        <w:t xml:space="preserve">º </w:t>
      </w:r>
      <w:r w:rsidRPr="006E1A96">
        <w:rPr>
          <w:rFonts w:ascii="Times New Roman" w:hAnsi="Times New Roman"/>
          <w:sz w:val="24"/>
        </w:rPr>
        <w:t>s 677.764, 677.769 y 677.770 propiedad del Sr. José Ricardo Navarro, para transferir al I.P.V. y D.U., registradas bajo la Matrícula Folio Real: T-19068; T-19067 y T-19069, siendo el mismo aprobado por la Municipalidad el 11/02/99 por cumplir con las Ordenanzas en vigencia., según registro en planos de anteproyecto.</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mediante Expediente N</w:t>
      </w:r>
      <w:r w:rsidR="006E1A96">
        <w:rPr>
          <w:rFonts w:ascii="Times New Roman" w:hAnsi="Times New Roman"/>
          <w:sz w:val="24"/>
        </w:rPr>
        <w:t xml:space="preserve">º </w:t>
      </w:r>
      <w:r w:rsidRPr="006E1A96">
        <w:rPr>
          <w:rFonts w:ascii="Times New Roman" w:hAnsi="Times New Roman"/>
          <w:sz w:val="24"/>
        </w:rPr>
        <w:t>4170/99, el Sr. Enrique Armengol solicita la visación de la red vehicular correspondiente al barrio, adjuntando los planos y la memoria descriptiva de los mismos.</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mediante Expediente N</w:t>
      </w:r>
      <w:r w:rsidR="006E1A96">
        <w:rPr>
          <w:rFonts w:ascii="Times New Roman" w:hAnsi="Times New Roman"/>
          <w:sz w:val="24"/>
        </w:rPr>
        <w:t xml:space="preserve">º </w:t>
      </w:r>
      <w:r w:rsidRPr="006E1A96">
        <w:rPr>
          <w:rFonts w:ascii="Times New Roman" w:hAnsi="Times New Roman"/>
          <w:sz w:val="24"/>
        </w:rPr>
        <w:t>4522-I-03, el Instituto Provincial de la vivienda y Desarrollo Urbano, solicita la aprobación de la documentación técnica referida a planos de Mensura, Unificación y División, correspondiente al barrio y adjuntan ofrecimiento en donación de las fracciones con destino a calles y ochavas correspondiente a la obra, acta debidamente protocolarizada por Escribanía de Gobierno de la Provincia.</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a fojas 77 la Sra. Directora de Catastro y Edificación de la Municipalidad, informa que el Barrio ya ha sido concluido y entregado a sus adquirentes y que para el análisis del ofrecimiento de donación efectuado por el Instituto Provincial de la Vivienda se deberán inspeccionar las calles y determinar si las mismas se encuentran en condiciones de ser recepcionada.</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luego de efectuarse las inspecciones correspondientes y de solicitársele al I.PV. las adecuaciones consideradas necesarias, la empresa constructora en la persona de su titular Enrique Armengol, propone que la municipalidad realice las reparaciones necesarias con cargo a su empresa, petición a la que se accede y según constancias obrantes en documentaciones Técnicas, los trabajos se realizaron, concluyendo el Señor Secretario de Obras Públicas que habiendo dado cumplimiento la empresa con lo exigido por la Municipalidad en cuanto a calles y alumbrado público, las actuaciones deben ser elevadas al H.C.D. para considerar la oferta de donación.</w:t>
      </w:r>
    </w:p>
    <w:p w:rsidR="00CA5467"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 xml:space="preserve">Que si bien, a fojas 98, con fecha 29/05/04 el agrimensor Canals le informa a la Sra. Directora de Catastro que la documentación técnica, Mensura, Unificación y división, está en condiciones de ser visada, después de ser aceptada la donación de calle ofrecida por el I.PV.D.U. se observa en el Plano que la compulsa de superficies no se ajusta a los </w:t>
      </w:r>
      <w:r w:rsidRPr="006E1A96">
        <w:rPr>
          <w:rFonts w:ascii="Times New Roman" w:hAnsi="Times New Roman"/>
          <w:sz w:val="24"/>
        </w:rPr>
        <w:lastRenderedPageBreak/>
        <w:t>totales informados por el Registro de la Propiedad, situación que debe ser corregida antes de la aprobación de los planos.</w:t>
      </w:r>
    </w:p>
    <w:p w:rsidR="001430D2" w:rsidRPr="006E1A96" w:rsidRDefault="0093602A" w:rsidP="006E1A96">
      <w:pPr>
        <w:pStyle w:val="Textoindependiente"/>
        <w:keepNext/>
        <w:spacing w:after="120" w:line="240" w:lineRule="auto"/>
        <w:jc w:val="left"/>
        <w:rPr>
          <w:rFonts w:ascii="Times New Roman" w:hAnsi="Times New Roman"/>
          <w:sz w:val="24"/>
        </w:rPr>
      </w:pPr>
      <w:r w:rsidRPr="006E1A96">
        <w:rPr>
          <w:rFonts w:ascii="Times New Roman" w:hAnsi="Times New Roman"/>
          <w:sz w:val="24"/>
        </w:rPr>
        <w:t>Que el Concejo Deliberante, en virtud de las disposiciones de la Ley N</w:t>
      </w:r>
      <w:r w:rsidR="006E1A96">
        <w:rPr>
          <w:rFonts w:ascii="Times New Roman" w:hAnsi="Times New Roman"/>
          <w:sz w:val="24"/>
        </w:rPr>
        <w:t xml:space="preserve">º </w:t>
      </w:r>
      <w:r w:rsidRPr="006E1A96">
        <w:rPr>
          <w:rFonts w:ascii="Times New Roman" w:hAnsi="Times New Roman"/>
          <w:sz w:val="24"/>
        </w:rPr>
        <w:t>5529, Artículo N</w:t>
      </w:r>
      <w:r w:rsidR="006E1A96">
        <w:rPr>
          <w:rFonts w:ascii="Times New Roman" w:hAnsi="Times New Roman"/>
          <w:sz w:val="24"/>
        </w:rPr>
        <w:t xml:space="preserve">º </w:t>
      </w:r>
      <w:r w:rsidRPr="006E1A96">
        <w:rPr>
          <w:rFonts w:ascii="Times New Roman" w:hAnsi="Times New Roman"/>
          <w:sz w:val="24"/>
        </w:rPr>
        <w:t>24, es quien debe aceptar las donaciones.</w:t>
      </w:r>
    </w:p>
    <w:p w:rsidR="001430D2" w:rsidRPr="006E1A96" w:rsidRDefault="006E1A96" w:rsidP="006E1A96">
      <w:pPr>
        <w:pStyle w:val="Textoindependiente"/>
        <w:keepNext/>
        <w:spacing w:before="360" w:after="360" w:line="240" w:lineRule="auto"/>
        <w:ind w:left="1984" w:right="1984"/>
        <w:jc w:val="center"/>
        <w:rPr>
          <w:rFonts w:ascii="Times New Roman" w:hAnsi="Times New Roman"/>
          <w:b/>
          <w:bCs/>
          <w:sz w:val="24"/>
        </w:rPr>
      </w:pPr>
      <w:r w:rsidRPr="006E1A96">
        <w:rPr>
          <w:rFonts w:ascii="Times New Roman" w:hAnsi="Times New Roman"/>
          <w:b/>
          <w:bCs/>
          <w:sz w:val="24"/>
        </w:rPr>
        <w:t>EL CONCEJO DELIBERANTE SANCIONA CON FUERZA DE ORDENANZA</w:t>
      </w:r>
    </w:p>
    <w:p w:rsidR="001430D2" w:rsidRPr="006E1A96" w:rsidRDefault="00B30BF4" w:rsidP="006E1A96">
      <w:pPr>
        <w:pStyle w:val="Textoindependiente"/>
        <w:keepNext/>
        <w:spacing w:after="120" w:line="240" w:lineRule="auto"/>
        <w:jc w:val="left"/>
        <w:rPr>
          <w:rFonts w:ascii="Times New Roman" w:hAnsi="Times New Roman"/>
          <w:sz w:val="24"/>
        </w:rPr>
      </w:pPr>
      <w:r w:rsidRPr="006E1A96">
        <w:rPr>
          <w:rFonts w:ascii="Times New Roman" w:hAnsi="Times New Roman"/>
          <w:bCs/>
          <w:sz w:val="24"/>
          <w:u w:val="single"/>
        </w:rPr>
        <w:t>ARTICULO PRIMERO</w:t>
      </w:r>
      <w:r w:rsidR="00095A72" w:rsidRPr="006E1A96">
        <w:rPr>
          <w:rFonts w:ascii="Times New Roman" w:hAnsi="Times New Roman"/>
          <w:bCs/>
          <w:sz w:val="24"/>
          <w:u w:val="single"/>
        </w:rPr>
        <w:t>:</w:t>
      </w:r>
      <w:r w:rsidR="00095A72" w:rsidRPr="006E1A96">
        <w:rPr>
          <w:rFonts w:ascii="Times New Roman" w:hAnsi="Times New Roman"/>
          <w:bCs/>
          <w:sz w:val="24"/>
        </w:rPr>
        <w:t xml:space="preserve"> </w:t>
      </w:r>
      <w:r w:rsidR="0093602A" w:rsidRPr="006E1A96">
        <w:rPr>
          <w:rFonts w:ascii="Times New Roman" w:hAnsi="Times New Roman"/>
          <w:bCs/>
          <w:sz w:val="24"/>
        </w:rPr>
        <w:t>ACEPTASE</w:t>
      </w:r>
      <w:r w:rsidR="0093602A" w:rsidRPr="006E1A96">
        <w:rPr>
          <w:rFonts w:ascii="Times New Roman" w:hAnsi="Times New Roman"/>
          <w:sz w:val="24"/>
        </w:rPr>
        <w:t xml:space="preserve"> la donación sin cargo a favor de la Municipalidad de Yerba Buena, efectuada por el Instituto Provincial de la Vivienda y Desarrollo Urbano, mediante acta de donación que obra en Expediente N</w:t>
      </w:r>
      <w:r w:rsidR="006E1A96">
        <w:rPr>
          <w:rFonts w:ascii="Times New Roman" w:hAnsi="Times New Roman"/>
          <w:sz w:val="24"/>
        </w:rPr>
        <w:t xml:space="preserve">º </w:t>
      </w:r>
      <w:r w:rsidR="0093602A" w:rsidRPr="006E1A96">
        <w:rPr>
          <w:rFonts w:ascii="Times New Roman" w:hAnsi="Times New Roman"/>
          <w:sz w:val="24"/>
        </w:rPr>
        <w:t>4522/99, de las fracciones con destino a calles y ochavas por una superficie total de 4.843,2001 m2, correspondientes a la obra “60 viviendas e infraestructura” I y II, identificadas en mayor extensión con la siguiente nomenclatura: C:I; S: 25; Manz. Parc.: 12T</w:t>
      </w:r>
      <w:r w:rsidR="00095A72" w:rsidRPr="006E1A96">
        <w:rPr>
          <w:rFonts w:ascii="Times New Roman" w:hAnsi="Times New Roman"/>
          <w:sz w:val="24"/>
        </w:rPr>
        <w:t xml:space="preserve"> </w:t>
      </w:r>
      <w:r w:rsidR="006E1A96">
        <w:rPr>
          <w:rFonts w:ascii="Times New Roman" w:hAnsi="Times New Roman"/>
          <w:sz w:val="24"/>
        </w:rPr>
        <w:t xml:space="preserve"> (</w:t>
      </w:r>
      <w:r w:rsidR="0093602A" w:rsidRPr="006E1A96">
        <w:rPr>
          <w:rFonts w:ascii="Times New Roman" w:hAnsi="Times New Roman"/>
          <w:sz w:val="24"/>
        </w:rPr>
        <w:t>12</w:t>
      </w:r>
      <w:r w:rsidR="006E1A96">
        <w:rPr>
          <w:rFonts w:ascii="Times New Roman" w:hAnsi="Times New Roman"/>
          <w:sz w:val="24"/>
        </w:rPr>
        <w:t xml:space="preserve">) ; </w:t>
      </w:r>
      <w:r w:rsidR="0093602A" w:rsidRPr="006E1A96">
        <w:rPr>
          <w:rFonts w:ascii="Times New Roman" w:hAnsi="Times New Roman"/>
          <w:sz w:val="24"/>
        </w:rPr>
        <w:t xml:space="preserve"> Parcelas: 1 y 2- Manz. Parc.: 12T</w:t>
      </w:r>
      <w:r w:rsidR="00095A72" w:rsidRPr="006E1A96">
        <w:rPr>
          <w:rFonts w:ascii="Times New Roman" w:hAnsi="Times New Roman"/>
          <w:sz w:val="24"/>
        </w:rPr>
        <w:t xml:space="preserve"> </w:t>
      </w:r>
      <w:r w:rsidR="006E1A96">
        <w:rPr>
          <w:rFonts w:ascii="Times New Roman" w:hAnsi="Times New Roman"/>
          <w:sz w:val="24"/>
        </w:rPr>
        <w:t xml:space="preserve"> (</w:t>
      </w:r>
      <w:r w:rsidR="0093602A" w:rsidRPr="006E1A96">
        <w:rPr>
          <w:rFonts w:ascii="Times New Roman" w:hAnsi="Times New Roman"/>
          <w:sz w:val="24"/>
        </w:rPr>
        <w:t>8</w:t>
      </w:r>
      <w:r w:rsidR="006E1A96">
        <w:rPr>
          <w:rFonts w:ascii="Times New Roman" w:hAnsi="Times New Roman"/>
          <w:sz w:val="24"/>
        </w:rPr>
        <w:t xml:space="preserve">) , </w:t>
      </w:r>
      <w:r w:rsidR="0093602A" w:rsidRPr="006E1A96">
        <w:rPr>
          <w:rFonts w:ascii="Times New Roman" w:hAnsi="Times New Roman"/>
          <w:sz w:val="24"/>
        </w:rPr>
        <w:t xml:space="preserve"> Parcela: 1, Padrones: 677.769; 677.770; y 677.764, cuyo dominio consta inscripto a nombre de esa Institución en las Matrículas Registrales: T-19.072; T-19.069 y T- 19.067.</w:t>
      </w:r>
    </w:p>
    <w:p w:rsidR="001430D2" w:rsidRPr="006E1A96" w:rsidRDefault="00B30BF4" w:rsidP="006E1A96">
      <w:pPr>
        <w:pStyle w:val="Textoindependiente"/>
        <w:keepNext/>
        <w:spacing w:after="120" w:line="240" w:lineRule="auto"/>
        <w:jc w:val="left"/>
        <w:rPr>
          <w:rFonts w:ascii="Times New Roman" w:hAnsi="Times New Roman"/>
          <w:sz w:val="24"/>
        </w:rPr>
      </w:pPr>
      <w:r w:rsidRPr="006E1A96">
        <w:rPr>
          <w:rFonts w:ascii="Times New Roman" w:hAnsi="Times New Roman"/>
          <w:bCs/>
          <w:sz w:val="24"/>
          <w:u w:val="single"/>
        </w:rPr>
        <w:t>ARTICULO SEGUNDO</w:t>
      </w:r>
      <w:r w:rsidR="00095A72" w:rsidRPr="006E1A96">
        <w:rPr>
          <w:rFonts w:ascii="Times New Roman" w:hAnsi="Times New Roman"/>
          <w:bCs/>
          <w:sz w:val="24"/>
          <w:u w:val="single"/>
        </w:rPr>
        <w:t>:</w:t>
      </w:r>
      <w:r w:rsidR="00095A72" w:rsidRPr="006E1A96">
        <w:rPr>
          <w:rFonts w:ascii="Times New Roman" w:hAnsi="Times New Roman"/>
          <w:bCs/>
          <w:sz w:val="24"/>
        </w:rPr>
        <w:t xml:space="preserve"> </w:t>
      </w:r>
      <w:r w:rsidR="0093602A" w:rsidRPr="006E1A96">
        <w:rPr>
          <w:rFonts w:ascii="Times New Roman" w:hAnsi="Times New Roman"/>
          <w:sz w:val="24"/>
        </w:rPr>
        <w:t>El Departamento Ejecutivo Municipal, previo a la aprobación de los Planos correspondientes a Mensura, División y Unificación, deberán observar y exigir las correcciones correspondientes en cuanto a la compulsa de superficies en relación a las Matrículas Registrales.</w:t>
      </w:r>
    </w:p>
    <w:p w:rsidR="00CA5467" w:rsidRPr="006E1A96" w:rsidRDefault="00B30BF4" w:rsidP="006E1A96">
      <w:pPr>
        <w:pStyle w:val="Textoindependiente"/>
        <w:keepNext/>
        <w:spacing w:after="120" w:line="240" w:lineRule="auto"/>
        <w:jc w:val="left"/>
        <w:rPr>
          <w:rFonts w:ascii="Times New Roman" w:hAnsi="Times New Roman"/>
          <w:bCs/>
          <w:sz w:val="24"/>
        </w:rPr>
      </w:pPr>
      <w:r w:rsidRPr="006E1A96">
        <w:rPr>
          <w:rFonts w:ascii="Times New Roman" w:hAnsi="Times New Roman"/>
          <w:bCs/>
          <w:sz w:val="24"/>
          <w:u w:val="single"/>
        </w:rPr>
        <w:t>ARTICULO TERCERO</w:t>
      </w:r>
      <w:r w:rsidR="00095A72" w:rsidRPr="006E1A96">
        <w:rPr>
          <w:rFonts w:ascii="Times New Roman" w:hAnsi="Times New Roman"/>
          <w:bCs/>
          <w:sz w:val="24"/>
          <w:u w:val="single"/>
        </w:rPr>
        <w:t>:</w:t>
      </w:r>
      <w:r w:rsidR="00095A72" w:rsidRPr="006E1A96">
        <w:rPr>
          <w:rFonts w:ascii="Times New Roman" w:hAnsi="Times New Roman"/>
          <w:bCs/>
          <w:sz w:val="24"/>
        </w:rPr>
        <w:t xml:space="preserve"> </w:t>
      </w:r>
      <w:r w:rsidR="0093602A" w:rsidRPr="006E1A96">
        <w:rPr>
          <w:rFonts w:ascii="Times New Roman" w:hAnsi="Times New Roman"/>
          <w:bCs/>
          <w:sz w:val="24"/>
        </w:rPr>
        <w:t>COMUNIQUESE, REGISTRESE Y ARCHIVESE.</w:t>
      </w:r>
      <w:r w:rsidR="006E1A96" w:rsidRPr="006E1A96">
        <w:rPr>
          <w:bCs/>
        </w:rPr>
        <w:t xml:space="preserve"> </w:t>
      </w:r>
    </w:p>
    <w:sectPr w:rsidR="00CA5467" w:rsidRPr="006E1A96" w:rsidSect="00E64200">
      <w:footerReference w:type="default" r:id="rId6"/>
      <w:pgSz w:w="11906" w:h="16838" w:code="5"/>
      <w:pgMar w:top="1417" w:right="1701" w:bottom="1417" w:left="1701" w:header="709" w:footer="709" w:gutter="0"/>
      <w:pgNumType w:start="155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4200" w:rsidRDefault="00E64200" w:rsidP="00E64200">
      <w:r>
        <w:separator/>
      </w:r>
    </w:p>
  </w:endnote>
  <w:endnote w:type="continuationSeparator" w:id="0">
    <w:p w:rsidR="00E64200" w:rsidRDefault="00E64200" w:rsidP="00E6420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00" w:rsidRPr="00AC1E54" w:rsidRDefault="00E6420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4200" w:rsidRDefault="00E64200" w:rsidP="00E64200">
      <w:r>
        <w:separator/>
      </w:r>
    </w:p>
  </w:footnote>
  <w:footnote w:type="continuationSeparator" w:id="0">
    <w:p w:rsidR="00E64200" w:rsidRDefault="00E64200" w:rsidP="00E64200">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3602A"/>
    <w:rsid w:val="00095A72"/>
    <w:rsid w:val="00095D30"/>
    <w:rsid w:val="000E36E1"/>
    <w:rsid w:val="00101150"/>
    <w:rsid w:val="001430D2"/>
    <w:rsid w:val="001E2F17"/>
    <w:rsid w:val="00247B54"/>
    <w:rsid w:val="002A1F7A"/>
    <w:rsid w:val="003718B9"/>
    <w:rsid w:val="0038520C"/>
    <w:rsid w:val="00422425"/>
    <w:rsid w:val="00555B1C"/>
    <w:rsid w:val="00564890"/>
    <w:rsid w:val="005B2FF0"/>
    <w:rsid w:val="005E43E4"/>
    <w:rsid w:val="005F4A71"/>
    <w:rsid w:val="006E1A96"/>
    <w:rsid w:val="007A2126"/>
    <w:rsid w:val="007F3039"/>
    <w:rsid w:val="00821EF1"/>
    <w:rsid w:val="0093602A"/>
    <w:rsid w:val="00A7373F"/>
    <w:rsid w:val="00AC1E54"/>
    <w:rsid w:val="00B30BF4"/>
    <w:rsid w:val="00CA5467"/>
    <w:rsid w:val="00CA6F50"/>
    <w:rsid w:val="00E64200"/>
    <w:rsid w:val="00F2772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A5467"/>
    <w:rPr>
      <w:sz w:val="24"/>
      <w:szCs w:val="24"/>
      <w:lang w:val="es-ES" w:eastAsia="es-ES"/>
    </w:rPr>
  </w:style>
  <w:style w:type="paragraph" w:styleId="Ttulo1">
    <w:name w:val="heading 1"/>
    <w:basedOn w:val="Normal"/>
    <w:next w:val="Normal"/>
    <w:qFormat/>
    <w:rsid w:val="00CA5467"/>
    <w:pPr>
      <w:keepNext/>
      <w:jc w:val="right"/>
      <w:outlineLvl w:val="0"/>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A5467"/>
    <w:pPr>
      <w:spacing w:line="480" w:lineRule="auto"/>
      <w:jc w:val="both"/>
    </w:pPr>
    <w:rPr>
      <w:rFonts w:ascii="Century" w:hAnsi="Century"/>
      <w:sz w:val="28"/>
      <w:lang w:val="es-AR"/>
    </w:rPr>
  </w:style>
  <w:style w:type="paragraph" w:styleId="Encabezado">
    <w:name w:val="header"/>
    <w:basedOn w:val="Normal"/>
    <w:link w:val="EncabezadoCar"/>
    <w:uiPriority w:val="99"/>
    <w:semiHidden/>
    <w:unhideWhenUsed/>
    <w:rsid w:val="00E64200"/>
    <w:pPr>
      <w:tabs>
        <w:tab w:val="center" w:pos="4419"/>
        <w:tab w:val="right" w:pos="8838"/>
      </w:tabs>
    </w:pPr>
  </w:style>
  <w:style w:type="character" w:customStyle="1" w:styleId="EncabezadoCar">
    <w:name w:val="Encabezado Car"/>
    <w:basedOn w:val="Fuentedeprrafopredeter"/>
    <w:link w:val="Encabezado"/>
    <w:uiPriority w:val="99"/>
    <w:semiHidden/>
    <w:rsid w:val="00E64200"/>
    <w:rPr>
      <w:sz w:val="24"/>
      <w:szCs w:val="24"/>
      <w:lang w:val="es-ES" w:eastAsia="es-ES"/>
    </w:rPr>
  </w:style>
  <w:style w:type="paragraph" w:styleId="Piedepgina">
    <w:name w:val="footer"/>
    <w:basedOn w:val="Normal"/>
    <w:link w:val="PiedepginaCar"/>
    <w:uiPriority w:val="99"/>
    <w:semiHidden/>
    <w:unhideWhenUsed/>
    <w:rsid w:val="00E64200"/>
    <w:pPr>
      <w:tabs>
        <w:tab w:val="center" w:pos="4419"/>
        <w:tab w:val="right" w:pos="8838"/>
      </w:tabs>
    </w:pPr>
  </w:style>
  <w:style w:type="character" w:customStyle="1" w:styleId="PiedepginaCar">
    <w:name w:val="Pie de página Car"/>
    <w:basedOn w:val="Fuentedeprrafopredeter"/>
    <w:link w:val="Piedepgina"/>
    <w:uiPriority w:val="99"/>
    <w:semiHidden/>
    <w:rsid w:val="00E6420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685</Words>
  <Characters>3771</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4448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