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4732" w:rsidRPr="00894732" w:rsidRDefault="00894732" w:rsidP="00894732">
      <w:pPr>
        <w:pStyle w:val="Textoindependiente"/>
        <w:keepNext/>
        <w:spacing w:after="240"/>
        <w:jc w:val="right"/>
        <w:rPr>
          <w:bCs/>
        </w:rPr>
      </w:pPr>
      <w:r w:rsidRPr="00894732">
        <w:rPr>
          <w:bCs/>
        </w:rPr>
        <w:t>Yerba Buena, 18 de Noviembre de 2004</w:t>
      </w:r>
    </w:p>
    <w:p w:rsidR="00894732" w:rsidRPr="00894732" w:rsidRDefault="00894732" w:rsidP="00894732">
      <w:pPr>
        <w:pStyle w:val="Textoindependiente"/>
        <w:keepNext/>
        <w:spacing w:before="240" w:after="360"/>
        <w:jc w:val="left"/>
        <w:rPr>
          <w:b/>
          <w:bCs/>
        </w:rPr>
      </w:pPr>
      <w:r w:rsidRPr="00894732">
        <w:rPr>
          <w:b/>
          <w:bCs/>
        </w:rPr>
        <w:t>ORDENANZA Nº 1410</w:t>
      </w:r>
    </w:p>
    <w:p w:rsidR="00894732" w:rsidRPr="00894732" w:rsidRDefault="00894732" w:rsidP="00894732">
      <w:pPr>
        <w:pStyle w:val="Textoindependiente"/>
        <w:keepNext/>
        <w:spacing w:before="240" w:after="120"/>
        <w:jc w:val="left"/>
        <w:rPr>
          <w:b/>
          <w:bCs/>
        </w:rPr>
      </w:pPr>
      <w:r w:rsidRPr="00894732">
        <w:rPr>
          <w:b/>
          <w:bCs/>
        </w:rPr>
        <w:t xml:space="preserve">VISTO: </w:t>
      </w:r>
    </w:p>
    <w:p w:rsidR="008214C4" w:rsidRPr="00894732" w:rsidRDefault="00894732" w:rsidP="00894732">
      <w:pPr>
        <w:pStyle w:val="Textoindependiente"/>
        <w:keepNext/>
        <w:spacing w:after="120"/>
        <w:jc w:val="left"/>
      </w:pPr>
      <w:r>
        <w:rPr>
          <w:bCs/>
        </w:rPr>
        <w:t xml:space="preserve"> </w:t>
      </w:r>
      <w:r w:rsidR="00E155A5" w:rsidRPr="00894732">
        <w:t>Que en el Municipio de Yerba Buena existen gran cantidad de construcciones que no respetan lo establecido en el COU/94, es decir están en contravención con las norma vigentes; y</w:t>
      </w:r>
    </w:p>
    <w:p w:rsidR="00894732" w:rsidRPr="00894732" w:rsidRDefault="00894732" w:rsidP="00894732">
      <w:pPr>
        <w:pStyle w:val="Sangradetextonormal"/>
        <w:keepNext/>
        <w:spacing w:before="240" w:after="120"/>
        <w:ind w:firstLine="0"/>
        <w:jc w:val="left"/>
        <w:rPr>
          <w:b/>
          <w:bCs/>
        </w:rPr>
      </w:pPr>
      <w:r w:rsidRPr="00894732">
        <w:rPr>
          <w:b/>
          <w:bCs/>
        </w:rPr>
        <w:t xml:space="preserve">CONSIDERANDO: </w:t>
      </w:r>
    </w:p>
    <w:p w:rsidR="000C76AD" w:rsidRPr="00894732" w:rsidRDefault="00894732" w:rsidP="00894732">
      <w:pPr>
        <w:pStyle w:val="Sangradetextonormal"/>
        <w:keepNext/>
        <w:spacing w:after="120"/>
        <w:ind w:firstLine="0"/>
        <w:jc w:val="left"/>
      </w:pPr>
      <w:r>
        <w:rPr>
          <w:bCs/>
        </w:rPr>
        <w:t xml:space="preserve"> </w:t>
      </w:r>
      <w:r w:rsidR="00E155A5" w:rsidRPr="00894732">
        <w:t>Que lo antes mencionado se debe principalmente a la falta de información o desconocimiento de los vecinos de la existencia del COU/94;</w:t>
      </w:r>
    </w:p>
    <w:p w:rsidR="000C76AD" w:rsidRPr="00894732" w:rsidRDefault="00E155A5" w:rsidP="00894732">
      <w:pPr>
        <w:pStyle w:val="Sangradetextonormal"/>
        <w:keepNext/>
        <w:spacing w:after="120"/>
        <w:ind w:firstLine="0"/>
        <w:jc w:val="left"/>
      </w:pPr>
      <w:r w:rsidRPr="00894732">
        <w:t>Que es fundamental para el Municipio contar con un Relevamiento Catastral actualizado tanto para garantizar la obtención de ingresos genuinos que permitan cumplir con la prestación de servicios e infraestructuras, como para la equidad frente a impuestos y cargas públicas;</w:t>
      </w:r>
    </w:p>
    <w:p w:rsidR="008214C4" w:rsidRPr="00894732" w:rsidRDefault="00E155A5" w:rsidP="00894732">
      <w:pPr>
        <w:pStyle w:val="Sangradetextonormal"/>
        <w:keepNext/>
        <w:spacing w:after="120"/>
        <w:ind w:firstLine="0"/>
        <w:jc w:val="left"/>
      </w:pPr>
      <w:r w:rsidRPr="00894732">
        <w:t>Que posibilitar la regularización de obras construidas al margen de las Ordenanzas permitirá resolver la avalancha de vías de excepción que se efectúan al Honorable Concejo Deliberante y regularizar una situación que existe de hecho;</w:t>
      </w:r>
    </w:p>
    <w:p w:rsidR="008214C4" w:rsidRPr="00894732" w:rsidRDefault="00894732" w:rsidP="00894732">
      <w:pPr>
        <w:pStyle w:val="Ttulo2"/>
        <w:spacing w:before="360" w:after="360"/>
        <w:ind w:left="1984" w:right="1984"/>
        <w:rPr>
          <w:u w:val="none"/>
        </w:rPr>
      </w:pPr>
      <w:r w:rsidRPr="00894732">
        <w:rPr>
          <w:u w:val="none"/>
        </w:rPr>
        <w:t>EL CONCEJO DELIBERANTE SANCIONA CON FUERZA DE ORDENANZA</w:t>
      </w:r>
    </w:p>
    <w:p w:rsidR="00894732" w:rsidRDefault="003D7C3A" w:rsidP="00894732">
      <w:pPr>
        <w:keepNext/>
        <w:spacing w:after="120"/>
        <w:rPr>
          <w:lang w:val="es-AR"/>
        </w:rPr>
      </w:pPr>
      <w:r w:rsidRPr="00894732">
        <w:rPr>
          <w:bCs/>
          <w:u w:val="single"/>
          <w:lang w:val="es-AR"/>
        </w:rPr>
        <w:t>ARTICULO PRIMERO</w:t>
      </w:r>
      <w:r w:rsidR="002035B6" w:rsidRPr="00894732">
        <w:rPr>
          <w:bCs/>
          <w:u w:val="single"/>
          <w:lang w:val="es-AR"/>
        </w:rPr>
        <w:t>:</w:t>
      </w:r>
      <w:r w:rsidR="002035B6" w:rsidRPr="00894732">
        <w:rPr>
          <w:bCs/>
          <w:lang w:val="es-AR"/>
        </w:rPr>
        <w:t xml:space="preserve"> </w:t>
      </w:r>
      <w:r w:rsidR="00E155A5" w:rsidRPr="00894732">
        <w:rPr>
          <w:lang w:val="es-AR"/>
        </w:rPr>
        <w:t>Se establece a partir de la entrada en vigencia de la presente Ordenanza y hasta el día 31 de Marzo de 2005, un Plan de Relevamiento, Regularización Catastral y Regularización de la Construcción, en toda la jurisdicción del Municipio.</w:t>
      </w:r>
    </w:p>
    <w:p w:rsidR="008214C4" w:rsidRPr="00894732" w:rsidRDefault="003D7C3A" w:rsidP="00894732">
      <w:pPr>
        <w:keepNext/>
        <w:spacing w:after="120"/>
        <w:rPr>
          <w:lang w:val="es-AR"/>
        </w:rPr>
      </w:pPr>
      <w:r w:rsidRPr="00894732">
        <w:rPr>
          <w:bCs/>
          <w:u w:val="single"/>
          <w:lang w:val="es-AR"/>
        </w:rPr>
        <w:t>ARTICULO SEGUNDO</w:t>
      </w:r>
      <w:r w:rsidR="002035B6" w:rsidRPr="00894732">
        <w:rPr>
          <w:bCs/>
          <w:u w:val="single"/>
          <w:lang w:val="es-AR"/>
        </w:rPr>
        <w:t>:</w:t>
      </w:r>
      <w:r w:rsidR="002035B6" w:rsidRPr="00894732">
        <w:rPr>
          <w:bCs/>
          <w:lang w:val="es-AR"/>
        </w:rPr>
        <w:t xml:space="preserve"> </w:t>
      </w:r>
      <w:r w:rsidR="00E155A5" w:rsidRPr="00894732">
        <w:rPr>
          <w:lang w:val="es-AR"/>
        </w:rPr>
        <w:t>Podrán acogerse al presente plan:</w:t>
      </w:r>
    </w:p>
    <w:p w:rsidR="000C76AD" w:rsidRPr="00894732" w:rsidRDefault="00E155A5" w:rsidP="00894732">
      <w:pPr>
        <w:keepNext/>
        <w:numPr>
          <w:ilvl w:val="0"/>
          <w:numId w:val="1"/>
        </w:numPr>
        <w:spacing w:after="120"/>
        <w:ind w:left="0" w:firstLine="0"/>
        <w:rPr>
          <w:lang w:val="es-AR"/>
        </w:rPr>
      </w:pPr>
      <w:r w:rsidRPr="00894732">
        <w:rPr>
          <w:lang w:val="es-AR"/>
        </w:rPr>
        <w:t>Los propietarios de inmuebles que a la fecha de publicación de la presente Ordenanza tengan construcciones terminadas al 30/11/04, que hayan sido realizadas sin la aprobación de los planos correspondientes por la Dirección de Catastro y Edificación de la Municipalidad de Yerba Buena,</w:t>
      </w:r>
      <w:r w:rsidR="002035B6" w:rsidRPr="00894732">
        <w:rPr>
          <w:lang w:val="es-AR"/>
        </w:rPr>
        <w:t xml:space="preserve"> </w:t>
      </w:r>
      <w:r w:rsidR="00894732">
        <w:rPr>
          <w:lang w:val="es-AR"/>
        </w:rPr>
        <w:t xml:space="preserve"> (</w:t>
      </w:r>
      <w:r w:rsidRPr="00894732">
        <w:rPr>
          <w:lang w:val="es-AR"/>
        </w:rPr>
        <w:t>inclusive aquellas cuyas construcciones no se ajusten a la Ordenanza N° 613/94 respecto a lo establecido a retiro y altura, para las distintas zonas</w:t>
      </w:r>
      <w:r w:rsidR="00894732">
        <w:rPr>
          <w:lang w:val="es-AR"/>
        </w:rPr>
        <w:t xml:space="preserve">) . </w:t>
      </w:r>
    </w:p>
    <w:p w:rsidR="008214C4" w:rsidRPr="00894732" w:rsidRDefault="00E155A5" w:rsidP="00894732">
      <w:pPr>
        <w:keepNext/>
        <w:numPr>
          <w:ilvl w:val="0"/>
          <w:numId w:val="1"/>
        </w:numPr>
        <w:spacing w:after="120"/>
        <w:ind w:left="0" w:firstLine="0"/>
        <w:rPr>
          <w:lang w:val="es-AR"/>
        </w:rPr>
      </w:pPr>
      <w:r w:rsidRPr="00894732">
        <w:rPr>
          <w:lang w:val="es-AR"/>
        </w:rPr>
        <w:t>No podrán acogerse a la presente Ordenanza las edificaciones que no cumplan con los requisitos en las normas Nacionales, Provinciales y/o municipales sobre la habitabilidad, seguridad, higiene, o aquellas que atenten contra el Orden Público.</w:t>
      </w:r>
    </w:p>
    <w:p w:rsidR="000C76AD" w:rsidRPr="00894732" w:rsidRDefault="003D7C3A" w:rsidP="00894732">
      <w:pPr>
        <w:keepNext/>
        <w:spacing w:after="120"/>
        <w:rPr>
          <w:lang w:val="es-AR"/>
        </w:rPr>
      </w:pPr>
      <w:r w:rsidRPr="00894732">
        <w:rPr>
          <w:bCs/>
          <w:u w:val="single"/>
          <w:lang w:val="es-AR"/>
        </w:rPr>
        <w:t>ARTICULO TERCERO</w:t>
      </w:r>
      <w:r w:rsidR="002035B6" w:rsidRPr="00894732">
        <w:rPr>
          <w:bCs/>
          <w:u w:val="single"/>
          <w:lang w:val="es-AR"/>
        </w:rPr>
        <w:t>:</w:t>
      </w:r>
      <w:r w:rsidR="002035B6" w:rsidRPr="00894732">
        <w:rPr>
          <w:bCs/>
          <w:lang w:val="es-AR"/>
        </w:rPr>
        <w:t xml:space="preserve"> </w:t>
      </w:r>
      <w:r w:rsidR="00E155A5" w:rsidRPr="00894732">
        <w:rPr>
          <w:lang w:val="es-AR"/>
        </w:rPr>
        <w:t>Las personas que se acojan al régimen pre</w:t>
      </w:r>
      <w:r w:rsidRPr="00894732">
        <w:rPr>
          <w:lang w:val="es-AR"/>
        </w:rPr>
        <w:t>VISTO</w:t>
      </w:r>
      <w:r w:rsidR="00E155A5" w:rsidRPr="00894732">
        <w:rPr>
          <w:lang w:val="es-AR"/>
        </w:rPr>
        <w:t>en la presente Ordenanza estarán exentos del pago de multas establecidas en el Artículo N° 114 de la Ordenanza N° 1258/02 aunque las mismas se encuentren ya impuestas por el Honorable Tribunal de Faltas.</w:t>
      </w:r>
    </w:p>
    <w:p w:rsidR="008214C4" w:rsidRPr="00894732" w:rsidRDefault="00E155A5" w:rsidP="00894732">
      <w:pPr>
        <w:pStyle w:val="Textoindependiente"/>
        <w:keepNext/>
        <w:spacing w:after="120"/>
        <w:jc w:val="left"/>
      </w:pPr>
      <w:r w:rsidRPr="00894732">
        <w:t>En los casos de que las multas se encuentren en trámite administrativo y/o judicial el demandado deberá allanarse incondicionalmente y desistir y renunciar a toda acción, asumiendo el pago de las costas y gastos causídicos.</w:t>
      </w:r>
    </w:p>
    <w:p w:rsidR="008214C4" w:rsidRPr="00894732" w:rsidRDefault="003D7C3A" w:rsidP="00894732">
      <w:pPr>
        <w:keepNext/>
        <w:spacing w:after="120"/>
        <w:rPr>
          <w:bCs/>
          <w:lang w:val="es-AR"/>
        </w:rPr>
      </w:pPr>
      <w:r w:rsidRPr="00894732">
        <w:rPr>
          <w:bCs/>
          <w:u w:val="single"/>
          <w:lang w:val="es-AR"/>
        </w:rPr>
        <w:lastRenderedPageBreak/>
        <w:t>ARTICULO CUARTO</w:t>
      </w:r>
      <w:r w:rsidR="002035B6" w:rsidRPr="00894732">
        <w:rPr>
          <w:bCs/>
          <w:u w:val="single"/>
          <w:lang w:val="es-AR"/>
        </w:rPr>
        <w:t>:</w:t>
      </w:r>
      <w:r w:rsidR="002035B6" w:rsidRPr="00894732">
        <w:rPr>
          <w:bCs/>
          <w:lang w:val="es-AR"/>
        </w:rPr>
        <w:t xml:space="preserve"> </w:t>
      </w:r>
      <w:r w:rsidR="00E155A5" w:rsidRPr="00894732">
        <w:rPr>
          <w:bCs/>
          <w:lang w:val="es-AR"/>
        </w:rPr>
        <w:t>REQUISITOS</w:t>
      </w:r>
    </w:p>
    <w:p w:rsidR="000C76AD" w:rsidRPr="00894732" w:rsidRDefault="00E155A5" w:rsidP="00894732">
      <w:pPr>
        <w:keepNext/>
        <w:numPr>
          <w:ilvl w:val="0"/>
          <w:numId w:val="2"/>
        </w:numPr>
        <w:spacing w:after="120"/>
        <w:ind w:left="0" w:firstLine="0"/>
        <w:rPr>
          <w:lang w:val="es-AR"/>
        </w:rPr>
      </w:pPr>
      <w:r w:rsidRPr="00894732">
        <w:rPr>
          <w:lang w:val="es-AR"/>
        </w:rPr>
        <w:t>Acreditar identidad mediante la presentación de D.N.I., Cédula o Pasaporte.</w:t>
      </w:r>
    </w:p>
    <w:p w:rsidR="000C76AD" w:rsidRPr="00894732" w:rsidRDefault="00E155A5" w:rsidP="00894732">
      <w:pPr>
        <w:keepNext/>
        <w:numPr>
          <w:ilvl w:val="0"/>
          <w:numId w:val="2"/>
        </w:numPr>
        <w:spacing w:after="120"/>
        <w:ind w:left="0" w:firstLine="0"/>
        <w:rPr>
          <w:lang w:val="es-AR"/>
        </w:rPr>
      </w:pPr>
      <w:r w:rsidRPr="00894732">
        <w:rPr>
          <w:lang w:val="es-AR"/>
        </w:rPr>
        <w:t>Acreditar el carácter de propietario, usufructuario o poseedor a título de dueño.</w:t>
      </w:r>
    </w:p>
    <w:p w:rsidR="000C76AD" w:rsidRPr="00894732" w:rsidRDefault="00E155A5" w:rsidP="00894732">
      <w:pPr>
        <w:keepNext/>
        <w:numPr>
          <w:ilvl w:val="0"/>
          <w:numId w:val="2"/>
        </w:numPr>
        <w:spacing w:after="120"/>
        <w:ind w:left="0" w:firstLine="0"/>
        <w:rPr>
          <w:lang w:val="es-AR"/>
        </w:rPr>
      </w:pPr>
      <w:r w:rsidRPr="00894732">
        <w:rPr>
          <w:lang w:val="es-AR"/>
        </w:rPr>
        <w:t>Comletar el Formulario de Declaración Jurada, que será confeccionado por el Departamento Ejecutivo Municipal y presentando dentro del plazo pre</w:t>
      </w:r>
      <w:r w:rsidR="003D7C3A" w:rsidRPr="00894732">
        <w:rPr>
          <w:lang w:val="es-AR"/>
        </w:rPr>
        <w:t>VISTO</w:t>
      </w:r>
      <w:r w:rsidRPr="00894732">
        <w:rPr>
          <w:lang w:val="es-AR"/>
        </w:rPr>
        <w:t>en el Artículo Primero.</w:t>
      </w:r>
    </w:p>
    <w:p w:rsidR="008214C4" w:rsidRPr="00894732" w:rsidRDefault="00E155A5" w:rsidP="00894732">
      <w:pPr>
        <w:keepNext/>
        <w:numPr>
          <w:ilvl w:val="0"/>
          <w:numId w:val="2"/>
        </w:numPr>
        <w:spacing w:after="120"/>
        <w:ind w:left="0" w:firstLine="0"/>
        <w:rPr>
          <w:lang w:val="es-AR"/>
        </w:rPr>
      </w:pPr>
      <w:r w:rsidRPr="00894732">
        <w:rPr>
          <w:lang w:val="es-AR"/>
        </w:rPr>
        <w:t>Presentar la documentación Técnica, en el plazo establecido por el Departamento Ejecutivo Municipal.</w:t>
      </w:r>
    </w:p>
    <w:p w:rsidR="008214C4" w:rsidRPr="00894732" w:rsidRDefault="003D7C3A" w:rsidP="00894732">
      <w:pPr>
        <w:keepNext/>
        <w:spacing w:after="120"/>
        <w:rPr>
          <w:lang w:val="es-AR"/>
        </w:rPr>
      </w:pPr>
      <w:r w:rsidRPr="00894732">
        <w:rPr>
          <w:bCs/>
          <w:u w:val="single"/>
          <w:lang w:val="es-AR"/>
        </w:rPr>
        <w:t>ARTICULO QUINTO</w:t>
      </w:r>
      <w:r w:rsidR="002035B6" w:rsidRPr="00894732">
        <w:rPr>
          <w:bCs/>
          <w:u w:val="single"/>
          <w:lang w:val="es-AR"/>
        </w:rPr>
        <w:t>:</w:t>
      </w:r>
      <w:r w:rsidR="002035B6" w:rsidRPr="00894732">
        <w:rPr>
          <w:bCs/>
          <w:lang w:val="es-AR"/>
        </w:rPr>
        <w:t xml:space="preserve"> </w:t>
      </w:r>
      <w:r w:rsidR="00E155A5" w:rsidRPr="00894732">
        <w:rPr>
          <w:lang w:val="es-AR"/>
        </w:rPr>
        <w:t>Facúltase al Departamento Ejecutivo Municipal a otorgar un plazo de hasta 60 días a partir de la presentación de la Declaración Jurada, para la presentación de la Documentación Técnica.</w:t>
      </w:r>
    </w:p>
    <w:p w:rsidR="008214C4" w:rsidRPr="00894732" w:rsidRDefault="003D7C3A" w:rsidP="00894732">
      <w:pPr>
        <w:keepNext/>
        <w:spacing w:after="120"/>
        <w:rPr>
          <w:lang w:val="es-AR"/>
        </w:rPr>
      </w:pPr>
      <w:r w:rsidRPr="00894732">
        <w:rPr>
          <w:bCs/>
          <w:u w:val="single"/>
          <w:lang w:val="es-AR"/>
        </w:rPr>
        <w:t>ARTICULO SEXTO</w:t>
      </w:r>
      <w:r w:rsidR="002035B6" w:rsidRPr="00894732">
        <w:rPr>
          <w:bCs/>
          <w:u w:val="single"/>
          <w:lang w:val="es-AR"/>
        </w:rPr>
        <w:t>:</w:t>
      </w:r>
      <w:r w:rsidR="002035B6" w:rsidRPr="00894732">
        <w:rPr>
          <w:bCs/>
          <w:lang w:val="es-AR"/>
        </w:rPr>
        <w:t xml:space="preserve"> </w:t>
      </w:r>
      <w:r w:rsidR="00E155A5" w:rsidRPr="00894732">
        <w:rPr>
          <w:lang w:val="es-AR"/>
        </w:rPr>
        <w:t>Vencido el plazo para la presentación de la Documentación Técnica sin haber dado cumplimiento con los requisitos correspondientes, el Departamento Ejecutivo Municipal, arbitrará los medios para la aplicación de las sanciones correspondientes.</w:t>
      </w:r>
    </w:p>
    <w:p w:rsidR="008214C4" w:rsidRPr="00894732" w:rsidRDefault="00E155A5" w:rsidP="00894732">
      <w:pPr>
        <w:keepNext/>
        <w:spacing w:after="120"/>
        <w:rPr>
          <w:lang w:val="es-AR"/>
        </w:rPr>
      </w:pPr>
      <w:r w:rsidRPr="00894732">
        <w:rPr>
          <w:bCs/>
          <w:lang w:val="es-AR"/>
        </w:rPr>
        <w:t>ARTICULO SÉPTIMO</w:t>
      </w:r>
      <w:r w:rsidRPr="00894732">
        <w:rPr>
          <w:lang w:val="es-AR"/>
        </w:rPr>
        <w:t>: En caso de falseamiento de datos en la Declaración Jurada, se procederá a la exigencia inmediata de la Documentación Técnica y a la aplicación de lassanciones correspondientes.</w:t>
      </w:r>
    </w:p>
    <w:p w:rsidR="008214C4" w:rsidRPr="00894732" w:rsidRDefault="00E155A5" w:rsidP="00894732">
      <w:pPr>
        <w:keepNext/>
        <w:spacing w:after="120"/>
        <w:rPr>
          <w:lang w:val="es-AR"/>
        </w:rPr>
      </w:pPr>
      <w:r w:rsidRPr="00894732">
        <w:rPr>
          <w:bCs/>
          <w:lang w:val="es-AR"/>
        </w:rPr>
        <w:t>ARTICULO OCTAVO:</w:t>
      </w:r>
      <w:r w:rsidRPr="00894732">
        <w:rPr>
          <w:lang w:val="es-AR"/>
        </w:rPr>
        <w:t xml:space="preserve"> El Departamento Ejecutivo Municipal realizará convenios con los Colegios Profesionales a los efectos de establecer tasas Diferenciales por Retenciones y Honorarios por presentación de Documentación Técnica, para facilitar el acogimiento al Plan de Regularización, y solo durante la vigencia del mismo.</w:t>
      </w:r>
    </w:p>
    <w:p w:rsidR="008214C4" w:rsidRPr="00894732" w:rsidRDefault="00E155A5" w:rsidP="00894732">
      <w:pPr>
        <w:keepNext/>
        <w:spacing w:after="120"/>
        <w:rPr>
          <w:lang w:val="es-AR"/>
        </w:rPr>
      </w:pPr>
      <w:r w:rsidRPr="00894732">
        <w:rPr>
          <w:bCs/>
          <w:lang w:val="es-AR"/>
        </w:rPr>
        <w:t>ARTICULO NOVENO</w:t>
      </w:r>
      <w:r w:rsidR="002035B6" w:rsidRPr="00894732">
        <w:rPr>
          <w:bCs/>
          <w:lang w:val="es-AR"/>
        </w:rPr>
        <w:t xml:space="preserve">: </w:t>
      </w:r>
      <w:r w:rsidRPr="00894732">
        <w:rPr>
          <w:lang w:val="es-AR"/>
        </w:rPr>
        <w:t>El Departamento Ejecutivo Municipal dará inmediata difusión pública del Plan de Relevamiento, Regularización Catastral y Regularización de la Construcción.</w:t>
      </w:r>
    </w:p>
    <w:p w:rsidR="000C76AD" w:rsidRPr="00894732" w:rsidRDefault="00E155A5" w:rsidP="00894732">
      <w:pPr>
        <w:keepNext/>
        <w:spacing w:after="120"/>
        <w:rPr>
          <w:bCs/>
        </w:rPr>
      </w:pPr>
      <w:r w:rsidRPr="00894732">
        <w:rPr>
          <w:bCs/>
          <w:lang w:val="es-AR"/>
        </w:rPr>
        <w:t>ARTICULO DECIMO</w:t>
      </w:r>
      <w:r w:rsidR="002035B6" w:rsidRPr="00894732">
        <w:rPr>
          <w:bCs/>
          <w:lang w:val="es-AR"/>
        </w:rPr>
        <w:t xml:space="preserve">: </w:t>
      </w:r>
      <w:r w:rsidRPr="00894732">
        <w:rPr>
          <w:bCs/>
          <w:lang w:val="es-AR"/>
        </w:rPr>
        <w:t>COMUNIQUESE, REGISTRESE Y ARCHIVESE.</w:t>
      </w:r>
      <w:r w:rsidR="00894732" w:rsidRPr="00894732">
        <w:rPr>
          <w:bCs/>
        </w:rPr>
        <w:t xml:space="preserve"> </w:t>
      </w:r>
    </w:p>
    <w:sectPr w:rsidR="000C76AD" w:rsidRPr="00894732" w:rsidSect="000942EE">
      <w:footerReference w:type="default" r:id="rId7"/>
      <w:pgSz w:w="11906" w:h="16838" w:code="5"/>
      <w:pgMar w:top="1417" w:right="1701" w:bottom="1417" w:left="1701" w:header="709" w:footer="709" w:gutter="0"/>
      <w:pgNumType w:start="155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42EE" w:rsidRDefault="000942EE" w:rsidP="000942EE">
      <w:r>
        <w:separator/>
      </w:r>
    </w:p>
  </w:endnote>
  <w:endnote w:type="continuationSeparator" w:id="0">
    <w:p w:rsidR="000942EE" w:rsidRDefault="000942EE" w:rsidP="000942E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2EE" w:rsidRPr="00AA26EB" w:rsidRDefault="000942E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42EE" w:rsidRDefault="000942EE" w:rsidP="000942EE">
      <w:r>
        <w:separator/>
      </w:r>
    </w:p>
  </w:footnote>
  <w:footnote w:type="continuationSeparator" w:id="0">
    <w:p w:rsidR="000942EE" w:rsidRDefault="000942EE" w:rsidP="000942E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B534E"/>
    <w:multiLevelType w:val="hybridMultilevel"/>
    <w:tmpl w:val="50064BB8"/>
    <w:lvl w:ilvl="0" w:tplc="0C0A000B">
      <w:start w:val="1"/>
      <w:numFmt w:val="bullet"/>
      <w:lvlText w:val=""/>
      <w:lvlJc w:val="left"/>
      <w:pPr>
        <w:tabs>
          <w:tab w:val="num" w:pos="2140"/>
        </w:tabs>
        <w:ind w:left="2140" w:hanging="360"/>
      </w:pPr>
      <w:rPr>
        <w:rFonts w:ascii="Wingdings" w:hAnsi="Wingdings" w:hint="default"/>
      </w:rPr>
    </w:lvl>
    <w:lvl w:ilvl="1" w:tplc="0C0A0003" w:tentative="1">
      <w:start w:val="1"/>
      <w:numFmt w:val="bullet"/>
      <w:lvlText w:val="o"/>
      <w:lvlJc w:val="left"/>
      <w:pPr>
        <w:tabs>
          <w:tab w:val="num" w:pos="2860"/>
        </w:tabs>
        <w:ind w:left="2860" w:hanging="360"/>
      </w:pPr>
      <w:rPr>
        <w:rFonts w:ascii="Courier New" w:hAnsi="Courier New" w:hint="default"/>
      </w:rPr>
    </w:lvl>
    <w:lvl w:ilvl="2" w:tplc="0C0A0005" w:tentative="1">
      <w:start w:val="1"/>
      <w:numFmt w:val="bullet"/>
      <w:lvlText w:val=""/>
      <w:lvlJc w:val="left"/>
      <w:pPr>
        <w:tabs>
          <w:tab w:val="num" w:pos="3580"/>
        </w:tabs>
        <w:ind w:left="3580" w:hanging="360"/>
      </w:pPr>
      <w:rPr>
        <w:rFonts w:ascii="Wingdings" w:hAnsi="Wingdings" w:hint="default"/>
      </w:rPr>
    </w:lvl>
    <w:lvl w:ilvl="3" w:tplc="0C0A0001" w:tentative="1">
      <w:start w:val="1"/>
      <w:numFmt w:val="bullet"/>
      <w:lvlText w:val=""/>
      <w:lvlJc w:val="left"/>
      <w:pPr>
        <w:tabs>
          <w:tab w:val="num" w:pos="4300"/>
        </w:tabs>
        <w:ind w:left="4300" w:hanging="360"/>
      </w:pPr>
      <w:rPr>
        <w:rFonts w:ascii="Symbol" w:hAnsi="Symbol" w:hint="default"/>
      </w:rPr>
    </w:lvl>
    <w:lvl w:ilvl="4" w:tplc="0C0A0003" w:tentative="1">
      <w:start w:val="1"/>
      <w:numFmt w:val="bullet"/>
      <w:lvlText w:val="o"/>
      <w:lvlJc w:val="left"/>
      <w:pPr>
        <w:tabs>
          <w:tab w:val="num" w:pos="5020"/>
        </w:tabs>
        <w:ind w:left="5020" w:hanging="360"/>
      </w:pPr>
      <w:rPr>
        <w:rFonts w:ascii="Courier New" w:hAnsi="Courier New" w:hint="default"/>
      </w:rPr>
    </w:lvl>
    <w:lvl w:ilvl="5" w:tplc="0C0A0005" w:tentative="1">
      <w:start w:val="1"/>
      <w:numFmt w:val="bullet"/>
      <w:lvlText w:val=""/>
      <w:lvlJc w:val="left"/>
      <w:pPr>
        <w:tabs>
          <w:tab w:val="num" w:pos="5740"/>
        </w:tabs>
        <w:ind w:left="5740" w:hanging="360"/>
      </w:pPr>
      <w:rPr>
        <w:rFonts w:ascii="Wingdings" w:hAnsi="Wingdings" w:hint="default"/>
      </w:rPr>
    </w:lvl>
    <w:lvl w:ilvl="6" w:tplc="0C0A0001" w:tentative="1">
      <w:start w:val="1"/>
      <w:numFmt w:val="bullet"/>
      <w:lvlText w:val=""/>
      <w:lvlJc w:val="left"/>
      <w:pPr>
        <w:tabs>
          <w:tab w:val="num" w:pos="6460"/>
        </w:tabs>
        <w:ind w:left="6460" w:hanging="360"/>
      </w:pPr>
      <w:rPr>
        <w:rFonts w:ascii="Symbol" w:hAnsi="Symbol" w:hint="default"/>
      </w:rPr>
    </w:lvl>
    <w:lvl w:ilvl="7" w:tplc="0C0A0003" w:tentative="1">
      <w:start w:val="1"/>
      <w:numFmt w:val="bullet"/>
      <w:lvlText w:val="o"/>
      <w:lvlJc w:val="left"/>
      <w:pPr>
        <w:tabs>
          <w:tab w:val="num" w:pos="7180"/>
        </w:tabs>
        <w:ind w:left="7180" w:hanging="360"/>
      </w:pPr>
      <w:rPr>
        <w:rFonts w:ascii="Courier New" w:hAnsi="Courier New" w:hint="default"/>
      </w:rPr>
    </w:lvl>
    <w:lvl w:ilvl="8" w:tplc="0C0A0005" w:tentative="1">
      <w:start w:val="1"/>
      <w:numFmt w:val="bullet"/>
      <w:lvlText w:val=""/>
      <w:lvlJc w:val="left"/>
      <w:pPr>
        <w:tabs>
          <w:tab w:val="num" w:pos="7900"/>
        </w:tabs>
        <w:ind w:left="7900" w:hanging="360"/>
      </w:pPr>
      <w:rPr>
        <w:rFonts w:ascii="Wingdings" w:hAnsi="Wingdings" w:hint="default"/>
      </w:rPr>
    </w:lvl>
  </w:abstractNum>
  <w:abstractNum w:abstractNumId="1">
    <w:nsid w:val="29BE0F3B"/>
    <w:multiLevelType w:val="hybridMultilevel"/>
    <w:tmpl w:val="01DCBD78"/>
    <w:lvl w:ilvl="0" w:tplc="0C0A000B">
      <w:start w:val="1"/>
      <w:numFmt w:val="bullet"/>
      <w:lvlText w:val=""/>
      <w:lvlJc w:val="left"/>
      <w:pPr>
        <w:tabs>
          <w:tab w:val="num" w:pos="2140"/>
        </w:tabs>
        <w:ind w:left="2140" w:hanging="360"/>
      </w:pPr>
      <w:rPr>
        <w:rFonts w:ascii="Wingdings" w:hAnsi="Wingdings" w:hint="default"/>
      </w:rPr>
    </w:lvl>
    <w:lvl w:ilvl="1" w:tplc="0C0A0003" w:tentative="1">
      <w:start w:val="1"/>
      <w:numFmt w:val="bullet"/>
      <w:lvlText w:val="o"/>
      <w:lvlJc w:val="left"/>
      <w:pPr>
        <w:tabs>
          <w:tab w:val="num" w:pos="2860"/>
        </w:tabs>
        <w:ind w:left="2860" w:hanging="360"/>
      </w:pPr>
      <w:rPr>
        <w:rFonts w:ascii="Courier New" w:hAnsi="Courier New" w:hint="default"/>
      </w:rPr>
    </w:lvl>
    <w:lvl w:ilvl="2" w:tplc="0C0A0005" w:tentative="1">
      <w:start w:val="1"/>
      <w:numFmt w:val="bullet"/>
      <w:lvlText w:val=""/>
      <w:lvlJc w:val="left"/>
      <w:pPr>
        <w:tabs>
          <w:tab w:val="num" w:pos="3580"/>
        </w:tabs>
        <w:ind w:left="3580" w:hanging="360"/>
      </w:pPr>
      <w:rPr>
        <w:rFonts w:ascii="Wingdings" w:hAnsi="Wingdings" w:hint="default"/>
      </w:rPr>
    </w:lvl>
    <w:lvl w:ilvl="3" w:tplc="0C0A0001" w:tentative="1">
      <w:start w:val="1"/>
      <w:numFmt w:val="bullet"/>
      <w:lvlText w:val=""/>
      <w:lvlJc w:val="left"/>
      <w:pPr>
        <w:tabs>
          <w:tab w:val="num" w:pos="4300"/>
        </w:tabs>
        <w:ind w:left="4300" w:hanging="360"/>
      </w:pPr>
      <w:rPr>
        <w:rFonts w:ascii="Symbol" w:hAnsi="Symbol" w:hint="default"/>
      </w:rPr>
    </w:lvl>
    <w:lvl w:ilvl="4" w:tplc="0C0A0003" w:tentative="1">
      <w:start w:val="1"/>
      <w:numFmt w:val="bullet"/>
      <w:lvlText w:val="o"/>
      <w:lvlJc w:val="left"/>
      <w:pPr>
        <w:tabs>
          <w:tab w:val="num" w:pos="5020"/>
        </w:tabs>
        <w:ind w:left="5020" w:hanging="360"/>
      </w:pPr>
      <w:rPr>
        <w:rFonts w:ascii="Courier New" w:hAnsi="Courier New" w:hint="default"/>
      </w:rPr>
    </w:lvl>
    <w:lvl w:ilvl="5" w:tplc="0C0A0005" w:tentative="1">
      <w:start w:val="1"/>
      <w:numFmt w:val="bullet"/>
      <w:lvlText w:val=""/>
      <w:lvlJc w:val="left"/>
      <w:pPr>
        <w:tabs>
          <w:tab w:val="num" w:pos="5740"/>
        </w:tabs>
        <w:ind w:left="5740" w:hanging="360"/>
      </w:pPr>
      <w:rPr>
        <w:rFonts w:ascii="Wingdings" w:hAnsi="Wingdings" w:hint="default"/>
      </w:rPr>
    </w:lvl>
    <w:lvl w:ilvl="6" w:tplc="0C0A0001" w:tentative="1">
      <w:start w:val="1"/>
      <w:numFmt w:val="bullet"/>
      <w:lvlText w:val=""/>
      <w:lvlJc w:val="left"/>
      <w:pPr>
        <w:tabs>
          <w:tab w:val="num" w:pos="6460"/>
        </w:tabs>
        <w:ind w:left="6460" w:hanging="360"/>
      </w:pPr>
      <w:rPr>
        <w:rFonts w:ascii="Symbol" w:hAnsi="Symbol" w:hint="default"/>
      </w:rPr>
    </w:lvl>
    <w:lvl w:ilvl="7" w:tplc="0C0A0003" w:tentative="1">
      <w:start w:val="1"/>
      <w:numFmt w:val="bullet"/>
      <w:lvlText w:val="o"/>
      <w:lvlJc w:val="left"/>
      <w:pPr>
        <w:tabs>
          <w:tab w:val="num" w:pos="7180"/>
        </w:tabs>
        <w:ind w:left="7180" w:hanging="360"/>
      </w:pPr>
      <w:rPr>
        <w:rFonts w:ascii="Courier New" w:hAnsi="Courier New" w:hint="default"/>
      </w:rPr>
    </w:lvl>
    <w:lvl w:ilvl="8" w:tplc="0C0A0005" w:tentative="1">
      <w:start w:val="1"/>
      <w:numFmt w:val="bullet"/>
      <w:lvlText w:val=""/>
      <w:lvlJc w:val="left"/>
      <w:pPr>
        <w:tabs>
          <w:tab w:val="num" w:pos="7900"/>
        </w:tabs>
        <w:ind w:left="790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55A5"/>
    <w:rsid w:val="000942EE"/>
    <w:rsid w:val="000C76AD"/>
    <w:rsid w:val="001C32FA"/>
    <w:rsid w:val="002035B6"/>
    <w:rsid w:val="002124E6"/>
    <w:rsid w:val="00216881"/>
    <w:rsid w:val="00341092"/>
    <w:rsid w:val="00376385"/>
    <w:rsid w:val="003D7C3A"/>
    <w:rsid w:val="003F04BD"/>
    <w:rsid w:val="00484370"/>
    <w:rsid w:val="004B5121"/>
    <w:rsid w:val="00531D86"/>
    <w:rsid w:val="005A477A"/>
    <w:rsid w:val="00617563"/>
    <w:rsid w:val="00742D77"/>
    <w:rsid w:val="00753AE7"/>
    <w:rsid w:val="008214C4"/>
    <w:rsid w:val="00894732"/>
    <w:rsid w:val="00986FA8"/>
    <w:rsid w:val="009B3D0C"/>
    <w:rsid w:val="009F5329"/>
    <w:rsid w:val="00A002C7"/>
    <w:rsid w:val="00AA0D57"/>
    <w:rsid w:val="00AA26EB"/>
    <w:rsid w:val="00C83900"/>
    <w:rsid w:val="00E155A5"/>
    <w:rsid w:val="00F257C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6AD"/>
    <w:rPr>
      <w:sz w:val="24"/>
      <w:szCs w:val="24"/>
      <w:lang w:val="es-ES" w:eastAsia="es-ES"/>
    </w:rPr>
  </w:style>
  <w:style w:type="paragraph" w:styleId="Ttulo1">
    <w:name w:val="heading 1"/>
    <w:basedOn w:val="Normal"/>
    <w:next w:val="Normal"/>
    <w:qFormat/>
    <w:rsid w:val="000C76AD"/>
    <w:pPr>
      <w:keepNext/>
      <w:jc w:val="right"/>
      <w:outlineLvl w:val="0"/>
    </w:pPr>
    <w:rPr>
      <w:b/>
      <w:bCs/>
      <w:lang w:val="es-AR"/>
    </w:rPr>
  </w:style>
  <w:style w:type="paragraph" w:styleId="Ttulo2">
    <w:name w:val="heading 2"/>
    <w:basedOn w:val="Normal"/>
    <w:next w:val="Normal"/>
    <w:qFormat/>
    <w:rsid w:val="000C76AD"/>
    <w:pPr>
      <w:keepNext/>
      <w:jc w:val="center"/>
      <w:outlineLvl w:val="1"/>
    </w:pPr>
    <w:rPr>
      <w:b/>
      <w:bCs/>
      <w:u w:val="single"/>
      <w:lang w:val="es-AR"/>
    </w:rPr>
  </w:style>
  <w:style w:type="paragraph" w:styleId="Ttulo6">
    <w:name w:val="heading 6"/>
    <w:basedOn w:val="Normal"/>
    <w:next w:val="Normal"/>
    <w:qFormat/>
    <w:rsid w:val="000C76AD"/>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C76AD"/>
    <w:pPr>
      <w:jc w:val="both"/>
    </w:pPr>
    <w:rPr>
      <w:lang w:val="es-AR"/>
    </w:rPr>
  </w:style>
  <w:style w:type="paragraph" w:styleId="Sangradetextonormal">
    <w:name w:val="Body Text Indent"/>
    <w:basedOn w:val="Normal"/>
    <w:semiHidden/>
    <w:rsid w:val="000C76AD"/>
    <w:pPr>
      <w:ind w:firstLine="2880"/>
      <w:jc w:val="both"/>
    </w:pPr>
    <w:rPr>
      <w:lang w:val="es-AR"/>
    </w:rPr>
  </w:style>
  <w:style w:type="paragraph" w:styleId="Encabezado">
    <w:name w:val="header"/>
    <w:basedOn w:val="Normal"/>
    <w:link w:val="EncabezadoCar"/>
    <w:uiPriority w:val="99"/>
    <w:semiHidden/>
    <w:unhideWhenUsed/>
    <w:rsid w:val="000942EE"/>
    <w:pPr>
      <w:tabs>
        <w:tab w:val="center" w:pos="4419"/>
        <w:tab w:val="right" w:pos="8838"/>
      </w:tabs>
    </w:pPr>
  </w:style>
  <w:style w:type="character" w:customStyle="1" w:styleId="EncabezadoCar">
    <w:name w:val="Encabezado Car"/>
    <w:basedOn w:val="Fuentedeprrafopredeter"/>
    <w:link w:val="Encabezado"/>
    <w:uiPriority w:val="99"/>
    <w:semiHidden/>
    <w:rsid w:val="000942EE"/>
    <w:rPr>
      <w:sz w:val="24"/>
      <w:szCs w:val="24"/>
      <w:lang w:val="es-ES" w:eastAsia="es-ES"/>
    </w:rPr>
  </w:style>
  <w:style w:type="paragraph" w:styleId="Piedepgina">
    <w:name w:val="footer"/>
    <w:basedOn w:val="Normal"/>
    <w:link w:val="PiedepginaCar"/>
    <w:uiPriority w:val="99"/>
    <w:semiHidden/>
    <w:unhideWhenUsed/>
    <w:rsid w:val="000942EE"/>
    <w:pPr>
      <w:tabs>
        <w:tab w:val="center" w:pos="4419"/>
        <w:tab w:val="right" w:pos="8838"/>
      </w:tabs>
    </w:pPr>
  </w:style>
  <w:style w:type="character" w:customStyle="1" w:styleId="PiedepginaCar">
    <w:name w:val="Pie de página Car"/>
    <w:basedOn w:val="Fuentedeprrafopredeter"/>
    <w:link w:val="Piedepgina"/>
    <w:uiPriority w:val="99"/>
    <w:semiHidden/>
    <w:rsid w:val="000942E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3468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