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AD0" w:rsidRPr="00461AD0" w:rsidRDefault="00461AD0" w:rsidP="00461AD0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461AD0">
        <w:rPr>
          <w:bCs/>
        </w:rPr>
        <w:t>Yerba Buena, 15 de Mayo de 2008</w:t>
      </w:r>
    </w:p>
    <w:p w:rsidR="00461AD0" w:rsidRPr="00461AD0" w:rsidRDefault="00461AD0" w:rsidP="00461AD0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461AD0">
        <w:rPr>
          <w:b/>
          <w:bCs/>
        </w:rPr>
        <w:t>ORDENANZA Nº 1622</w:t>
      </w:r>
    </w:p>
    <w:p w:rsidR="00461AD0" w:rsidRPr="00461AD0" w:rsidRDefault="00461AD0" w:rsidP="00461AD0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461AD0">
        <w:rPr>
          <w:b/>
          <w:bCs/>
        </w:rPr>
        <w:t xml:space="preserve">VISTO: </w:t>
      </w:r>
    </w:p>
    <w:p w:rsidR="00420C35" w:rsidRPr="00461AD0" w:rsidRDefault="00461AD0" w:rsidP="00461AD0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E71DD4" w:rsidRPr="00461AD0">
        <w:t>El explosivo crecimiento edilicio que se ha suscitado durante las últimas décadas dentro del Ejido Municipal;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El desarrollo de la infraestructura Educativa, Pública y Privada;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La incrementación</w:t>
      </w:r>
      <w:r w:rsidR="00F50696" w:rsidRPr="00461AD0">
        <w:t xml:space="preserve"> </w:t>
      </w:r>
      <w:r w:rsidRPr="00461AD0">
        <w:t>de los grandes centros comerciales;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La congestión del transito sobre algunas arterias de la ciudad, causadas por la misma implementación de centros comerciales, de complejos habitacionales y urbanizaciones especiales;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Y que muchos de estos emprendimientos afectan áreas de pede montañas en donde se han realizado importantes deforestación;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Que las Obras Publicas Nacionales, Provinciales y Municipales afectan cada vez con mayor intensidad la Ecología del área del Municipio, degradando los suelos naturales;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Que la falta de Infraestructura Sanitaria</w:t>
      </w:r>
      <w:r w:rsidR="00461AD0">
        <w:t xml:space="preserve">  (</w:t>
      </w:r>
      <w:r w:rsidRPr="00461AD0">
        <w:t>cloacas</w:t>
      </w:r>
      <w:r w:rsidR="00461AD0">
        <w:t xml:space="preserve">)  </w:t>
      </w:r>
      <w:r w:rsidRPr="00461AD0">
        <w:t>esta produciendo la contaminación de la zona de recarga de los Acuíferos;</w:t>
      </w:r>
    </w:p>
    <w:p w:rsidR="00F50696" w:rsidRPr="00461AD0" w:rsidRDefault="00E71DD4" w:rsidP="00461AD0">
      <w:pPr>
        <w:pStyle w:val="Sangra3detindependiente"/>
        <w:keepNext/>
        <w:spacing w:after="120"/>
        <w:ind w:firstLine="0"/>
        <w:jc w:val="left"/>
      </w:pPr>
      <w:r w:rsidRPr="00461AD0">
        <w:t>Que la extracción de áridos que realizan empresas privadas, Municipios y Organismos del Estado Provincial, están causando grandes alteraciones en la dinámica fluvial de los cauces de desagües pluviales que bajan del Cerro San Javier; Y</w:t>
      </w:r>
    </w:p>
    <w:p w:rsidR="00461AD0" w:rsidRPr="00461AD0" w:rsidRDefault="00461AD0" w:rsidP="00461AD0">
      <w:pPr>
        <w:pStyle w:val="Sangra2detindependiente"/>
        <w:keepNext/>
        <w:spacing w:before="240" w:after="120"/>
        <w:ind w:firstLine="0"/>
        <w:jc w:val="left"/>
        <w:rPr>
          <w:b/>
        </w:rPr>
      </w:pPr>
      <w:r w:rsidRPr="00461AD0">
        <w:rPr>
          <w:b/>
        </w:rPr>
        <w:t xml:space="preserve">CONSIDERANDO: </w:t>
      </w:r>
    </w:p>
    <w:p w:rsidR="00420C35" w:rsidRPr="00461AD0" w:rsidRDefault="00461AD0" w:rsidP="00461AD0">
      <w:pPr>
        <w:pStyle w:val="Sangra2detindependiente"/>
        <w:keepNext/>
        <w:spacing w:after="120"/>
        <w:ind w:firstLine="0"/>
        <w:jc w:val="left"/>
      </w:pPr>
      <w:r>
        <w:t xml:space="preserve"> </w:t>
      </w:r>
      <w:r w:rsidR="00E71DD4" w:rsidRPr="00461AD0">
        <w:t>Que por todas las causas enumeradas precedentemente, se está produciendo profundas alteraciones del Ecosistema, donde se encuentra el territorio Municipal;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dichas alteraciones degradan el paisaje, la calidad del aire, la calidad de los suelos, y la calidad de las aguas;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produce profundas modificaciones de la vegetación y de la fauna;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el desarrollo socio económico, que produce este crecimiento demográfico, edilicio, comercial, debe ser medido y cotejado con referencia a la degradación que el mismo produce sobre el medio ambiente;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es necesario fijar medidas y pautas mitigatorias de los impactos que produzcan ese mayor crecimiento socio económico en la ciudad;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la subdivisión de la tierra ha estado realizada sobre la base de especulaciones comerciales sin respetar una adecuada trama urbana original. En donde se han aprobado y construido loteos, barrios privados</w:t>
      </w:r>
      <w:r w:rsidR="00461AD0">
        <w:t xml:space="preserve">  (</w:t>
      </w:r>
      <w:r w:rsidRPr="00461AD0">
        <w:t>country</w:t>
      </w:r>
      <w:r w:rsidR="00461AD0">
        <w:t xml:space="preserve">) ,  </w:t>
      </w:r>
      <w:r w:rsidRPr="00461AD0">
        <w:t>que trajeron aparejados problemas de circulación peatonal, vehicular y de las escorrentías urbanas;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la especulación por la tierra, ya sea por la construcción de loteos o country o ya sea por la ocupación indebida de lotes fiscales, ha saturado la infraestructura de servicio existente, sin que se haya requerido las inversiones que establece la ley para tales tipos subdivisiones y ocupación de las tierras;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el valor fiscal de los terrenos presenta una marcada distorsión con respecto a los valores inmobiliarios;</w:t>
      </w:r>
    </w:p>
    <w:p w:rsidR="00420C35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lastRenderedPageBreak/>
        <w:t>Que la Constitución de la Provincia – Sección VII – Capítulo Unico – Régimen Municipal “... Esta Constitución consagra la AUTONOMIA Política, Administrativa, Financiera e institucional de los Municipios...”;</w:t>
      </w:r>
    </w:p>
    <w:p w:rsidR="00F50696" w:rsidRPr="00461AD0" w:rsidRDefault="00E71DD4" w:rsidP="00461AD0">
      <w:pPr>
        <w:pStyle w:val="Sangra2detindependiente"/>
        <w:keepNext/>
        <w:spacing w:after="120"/>
        <w:ind w:firstLine="0"/>
        <w:jc w:val="left"/>
      </w:pPr>
      <w:r w:rsidRPr="00461AD0">
        <w:t>Que el Artículo 134. Inc. 7</w:t>
      </w:r>
      <w:r w:rsidR="00461AD0">
        <w:t xml:space="preserve">º </w:t>
      </w:r>
      <w:r w:rsidRPr="00461AD0">
        <w:t>establece: “... Proteger el Medio Ambiente...”</w:t>
      </w:r>
    </w:p>
    <w:p w:rsidR="00F50696" w:rsidRPr="00461AD0" w:rsidRDefault="00461AD0" w:rsidP="00461AD0">
      <w:pPr>
        <w:keepNext/>
        <w:spacing w:before="360" w:after="360"/>
        <w:ind w:left="1984" w:right="1984"/>
        <w:jc w:val="center"/>
        <w:rPr>
          <w:b/>
          <w:bCs/>
        </w:rPr>
      </w:pPr>
      <w:r w:rsidRPr="00461AD0">
        <w:rPr>
          <w:b/>
        </w:rPr>
        <w:t>EL CONCEJO DELIBERANTE SANCIONA CON FUERZA DE ORDENANZA</w:t>
      </w:r>
    </w:p>
    <w:p w:rsidR="00420C35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PRIMERO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Todo Proyecto Público de Origen Nacional, Provincial o Municipal respecto a la realización de obras o radicación de instalaciones de servicio dentro del Ejido Municipal, deberá incluir un ESTUDIO DEL IMPACTO AMBIENTAL</w:t>
      </w:r>
      <w:r w:rsidR="00461AD0">
        <w:t xml:space="preserve">  (</w:t>
      </w:r>
      <w:r w:rsidR="00E71DD4" w:rsidRPr="00461AD0">
        <w:t>EIA</w:t>
      </w:r>
      <w:r w:rsidR="00461AD0">
        <w:t xml:space="preserve">)  </w:t>
      </w:r>
      <w:r w:rsidR="00E71DD4" w:rsidRPr="00461AD0">
        <w:t>que pudiera ocasionar.</w:t>
      </w:r>
    </w:p>
    <w:p w:rsidR="00880D33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SEGUNDO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En el caso de Proyectos Privados, la obligatoriedad de estos estudios deberá ser aplicada a la radicación de Grandes Equipamientos, Conjuntos Habitacionales, o Redes de Servicio.</w:t>
      </w:r>
    </w:p>
    <w:p w:rsidR="00880D33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TERCERO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Se denomina Grandes Equipamiento todo emprendimiento que se desarrolle en una superficie mayor de 7.500 m2 y que corresponde a construcciones destinadas a centros comerciales, sanitarios, educacionales, deportivos y cívicos, cementerios, terminales aéreas, terminales de líneas de Ómnibus, estaciones de servicio, construcciones industriales, fábricas, talleres, etc</w:t>
      </w:r>
      <w:r w:rsidR="00880D33" w:rsidRPr="00461AD0">
        <w:t>.</w:t>
      </w:r>
    </w:p>
    <w:p w:rsidR="00880D33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CUARTO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Se denominan conjuntos habitacionales a los loteos, barrios, country y urbanizaciones especiales que superen los 7.500 m2 de terreno o los 2.500 m2 cubierto.</w:t>
      </w:r>
    </w:p>
    <w:p w:rsidR="00880D33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QUINTO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Se denomina Redes de Servicios a las obras e instalaciones destinadas a brindar servicios de telefonía, electricidad, video cable, agua potable y cloacas, gas, desagües, servicios de transporte de pasajeros y carga.</w:t>
      </w:r>
    </w:p>
    <w:p w:rsidR="00880D33" w:rsidRPr="00461AD0" w:rsidRDefault="00407277" w:rsidP="00461AD0">
      <w:pPr>
        <w:keepNext/>
        <w:spacing w:after="120"/>
      </w:pPr>
      <w:r w:rsidRPr="00461AD0">
        <w:rPr>
          <w:bCs/>
          <w:u w:val="single"/>
        </w:rPr>
        <w:t>ARTICULO SEXTO</w:t>
      </w:r>
      <w:r w:rsidR="00CB15E2" w:rsidRPr="00461AD0">
        <w:rPr>
          <w:bCs/>
          <w:u w:val="single"/>
        </w:rPr>
        <w:t>:</w:t>
      </w:r>
      <w:r w:rsidR="00CB15E2" w:rsidRPr="00461AD0">
        <w:rPr>
          <w:bCs/>
        </w:rPr>
        <w:t xml:space="preserve"> </w:t>
      </w:r>
      <w:r w:rsidR="00E71DD4" w:rsidRPr="00461AD0">
        <w:t>Los Estudios de Impacto Ambiental deberán presentarse en forma conjunta con las solicitudes de factibilidad, ante la oficina específica que a los efectos designe el Departamento Ejecutivo, en la Dirección de Planeamiento de la Secretaría de Obras Públicas.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t>ARTICULO SÉPTIMO</w:t>
      </w:r>
      <w:r w:rsidRPr="00461AD0">
        <w:t>: En los mismos se deberá detallar el área de influencia del proyecto, mediante un Inventario Ambiental que considere los siguientes factores: Aire,</w:t>
      </w:r>
      <w:r w:rsidR="00F50696" w:rsidRPr="00461AD0">
        <w:t xml:space="preserve"> </w:t>
      </w:r>
      <w:r w:rsidRPr="00461AD0">
        <w:t>clima, Agua, Suelo, Vegetación, Fauna, Paisaje, Infraestructura de Servicios, Población y Economía.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t>ARTICULO OCTAVO</w:t>
      </w:r>
      <w:r w:rsidRPr="00461AD0">
        <w:t>: En base al Inventario Ambiental propuesto, los informes deberán contener un Estudio de Interacción Recíproca del proyecto con el área de influencia, en forma cualitativa y cuantitativa, mediante el Sistema de Matrices de identificación y valoración de efectos, u otras Técnicas de Evaluación.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t>ARTICULO NOVENO</w:t>
      </w:r>
      <w:r w:rsidRPr="00461AD0">
        <w:t>: En base a los Estudios de Impacto Ambiental presentados, la Dirección de Planeamiento de la Secretaría de Obras Públicas del Departamento Ejecutivo Municipal evaluará los mismos y propondrá medidas mitigatorias del Impacto que serán elevadas conjuntamente con la totalidad de la documentación a consideración del Honorable Concejo Deliberante.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lastRenderedPageBreak/>
        <w:t>ARTICULO DECIMO</w:t>
      </w:r>
      <w:r w:rsidRPr="00461AD0">
        <w:t>: El Honorable Concejo Deliberante deberá expedirse a través del Apto Ambiental definitivo, previo dictamen de la Comisión de Medio Ambiente, la que podrá requerir, si la naturaleza del proyecto lo indica, la colaboración de Organizaciones Ambientalistas y Ecologistas conocidas del medio.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t>ARTICULO DECIMO PRIMERO</w:t>
      </w:r>
      <w:r w:rsidRPr="00461AD0">
        <w:t>: El Honorable Concejo Deliberante comunicará la aprobación de la certificación de Aptitud Ambiental Definitiva al Departamento Ejecutivo Municipal.</w:t>
      </w:r>
    </w:p>
    <w:p w:rsidR="00880D33" w:rsidRPr="00461AD0" w:rsidRDefault="00E71DD4" w:rsidP="00461AD0">
      <w:pPr>
        <w:keepNext/>
        <w:spacing w:after="120"/>
      </w:pPr>
      <w:r w:rsidRPr="00461AD0">
        <w:rPr>
          <w:bCs/>
        </w:rPr>
        <w:t>ARTICULO DECIMO SEGUNDO</w:t>
      </w:r>
      <w:r w:rsidRPr="00461AD0">
        <w:t>: Las Obras, Instalaciones, Actividades o Servicios que se inicien sin contar con la Certificación de Aptitud Ambiental Definitiva, o que no cumplan las exigencias, seguimientos y controles que se establezca en la misma, serán suspendidas de inmediato, aplicando las sanciones que a esos efectos establece el Código de Faltas y sus reglamentaciones. El Departamento Ejecutivo Municipal deberá además informar conforme a las Leyes vigentes al Superior Gobierno de la Provincia, Poder Ejecutivo, Legislativo y Judicial si correspondiere, para la aplicación de las medidas sancionatorias y el inicio de las acciones legales pertinentes bajo el amparo de la Legislación Provincial y Nacional en materia de Protección del Medio Ambiente.</w:t>
      </w:r>
    </w:p>
    <w:p w:rsidR="00420C35" w:rsidRPr="00461AD0" w:rsidRDefault="00E71DD4" w:rsidP="00461AD0">
      <w:pPr>
        <w:keepNext/>
        <w:spacing w:after="120"/>
      </w:pPr>
      <w:r w:rsidRPr="00461AD0">
        <w:rPr>
          <w:bCs/>
        </w:rPr>
        <w:t>ARTICULO DECIMO TERCERO</w:t>
      </w:r>
      <w:r w:rsidRPr="00461AD0">
        <w:t xml:space="preserve">: </w:t>
      </w:r>
      <w:r w:rsidRPr="00461AD0">
        <w:rPr>
          <w:bCs/>
        </w:rPr>
        <w:t>COMUNIQUESE, REGISTRESE Y ARCHIVESE</w:t>
      </w:r>
    </w:p>
    <w:sectPr w:rsidR="00420C35" w:rsidRPr="00461AD0" w:rsidSect="00030F08">
      <w:footerReference w:type="default" r:id="rId7"/>
      <w:pgSz w:w="11906" w:h="16838" w:code="5"/>
      <w:pgMar w:top="1417" w:right="1701" w:bottom="1417" w:left="1701" w:header="709" w:footer="709" w:gutter="0"/>
      <w:pgNumType w:start="20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0F08" w:rsidRDefault="00030F08" w:rsidP="00030F08">
      <w:r>
        <w:separator/>
      </w:r>
    </w:p>
  </w:endnote>
  <w:endnote w:type="continuationSeparator" w:id="0">
    <w:p w:rsidR="00030F08" w:rsidRDefault="00030F08" w:rsidP="00030F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F08" w:rsidRPr="009218DA" w:rsidRDefault="00030F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0F08" w:rsidRDefault="00030F08" w:rsidP="00030F08">
      <w:r>
        <w:separator/>
      </w:r>
    </w:p>
  </w:footnote>
  <w:footnote w:type="continuationSeparator" w:id="0">
    <w:p w:rsidR="00030F08" w:rsidRDefault="00030F08" w:rsidP="00030F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71DD4"/>
    <w:rsid w:val="00030F08"/>
    <w:rsid w:val="000F5366"/>
    <w:rsid w:val="00120897"/>
    <w:rsid w:val="001B4324"/>
    <w:rsid w:val="003917DE"/>
    <w:rsid w:val="003B0F6A"/>
    <w:rsid w:val="003F4F3A"/>
    <w:rsid w:val="00407277"/>
    <w:rsid w:val="00420C35"/>
    <w:rsid w:val="00461AD0"/>
    <w:rsid w:val="004B696A"/>
    <w:rsid w:val="005506DB"/>
    <w:rsid w:val="00574077"/>
    <w:rsid w:val="005F0178"/>
    <w:rsid w:val="0067308C"/>
    <w:rsid w:val="00736F4E"/>
    <w:rsid w:val="00781E53"/>
    <w:rsid w:val="0079027B"/>
    <w:rsid w:val="007B0EA2"/>
    <w:rsid w:val="007F5B26"/>
    <w:rsid w:val="00880D33"/>
    <w:rsid w:val="009218DA"/>
    <w:rsid w:val="00BF6989"/>
    <w:rsid w:val="00CB15E2"/>
    <w:rsid w:val="00D14D4A"/>
    <w:rsid w:val="00D50984"/>
    <w:rsid w:val="00E674ED"/>
    <w:rsid w:val="00E71DD4"/>
    <w:rsid w:val="00EB6458"/>
    <w:rsid w:val="00F50696"/>
    <w:rsid w:val="00F634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C3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20C3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20C3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20C3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20C3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20C3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20C3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20C35"/>
    <w:pPr>
      <w:ind w:firstLine="1680"/>
      <w:jc w:val="both"/>
    </w:pPr>
  </w:style>
  <w:style w:type="paragraph" w:styleId="Textoindependiente">
    <w:name w:val="Body Text"/>
    <w:basedOn w:val="Normal"/>
    <w:semiHidden/>
    <w:rsid w:val="00420C35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30F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0F0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0F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0F0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