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95652E2" w:rsidP="195652E2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195652E2" w:rsidP="195652E2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ORDENANZA Nº 2076</w:t>
      </w:r>
    </w:p>
    <w:p w:rsidR="00696019" w:rsidRPr="00DF0C6C" w:rsidRDefault="195652E2" w:rsidP="195652E2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La necesidad de contar con una guardia muncipal que trabaje en forma coordinada con la Policía de la Provincia de Tucumán;</w:t>
      </w:r>
    </w:p>
    <w:p w:rsidR="00696019" w:rsidRPr="00DF0C6C" w:rsidRDefault="195652E2" w:rsidP="195652E2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>Que la creciente ola de inseguridad que viene sufriendo el Municipio, y ante la necesidad de brindar una cooperación a las fuerzas policiales y ofrecer a los vecinos una respuesta a sus reclamos por seguridad;</w:t>
      </w:r>
    </w:p>
    <w:p w:rsidR="00B77880" w:rsidRPr="00DF0C6C" w:rsidRDefault="195652E2" w:rsidP="195652E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95652E2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95652E2">
        <w:rPr>
          <w:rFonts w:ascii="Book Antiqua" w:hAnsi="Book Antiqua" w:cs="Times New Roman"/>
          <w:sz w:val="24"/>
          <w:szCs w:val="24"/>
        </w:rPr>
        <w:t>: CREASE la GUARDIA URBANA MUNICIPAL que cumplirá con las funciones de seguridad general, prevención, protección y resguardo de personas y bienes y de auxiliar de la Policía de Tucumán. -</w:t>
      </w:r>
    </w:p>
    <w:p w:rsidR="00B77880" w:rsidRDefault="00986914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986914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>
        <w:rPr>
          <w:rFonts w:ascii="Book Antiqua" w:hAnsi="Book Antiqua" w:cs="Times New Roman"/>
          <w:sz w:val="24"/>
        </w:rPr>
        <w:fldChar w:fldCharType="end"/>
      </w:r>
      <w:r w:rsidR="195652E2" w:rsidRPr="195652E2">
        <w:rPr>
          <w:rFonts w:ascii="Book Antiqua" w:hAnsi="Book Antiqua" w:cs="Times New Roman"/>
          <w:sz w:val="24"/>
          <w:szCs w:val="24"/>
          <w:u w:val="single"/>
        </w:rPr>
        <w:t>RTÍCULO SEGUNDO</w:t>
      </w:r>
      <w:r w:rsidR="195652E2" w:rsidRPr="195652E2">
        <w:rPr>
          <w:rFonts w:ascii="Book Antiqua" w:hAnsi="Book Antiqua" w:cs="Times New Roman"/>
          <w:sz w:val="24"/>
          <w:szCs w:val="24"/>
        </w:rPr>
        <w:t>: Los guardias municipales conformarán un cuerpo civil no armado que contará para sus tareas con elementos de disuasión y comunicación. 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95652E2">
        <w:rPr>
          <w:rFonts w:ascii="Book Antiqua" w:hAnsi="Book Antiqua" w:cs="Times New Roman"/>
          <w:sz w:val="24"/>
          <w:szCs w:val="24"/>
        </w:rPr>
        <w:t>: La Guardia Urbana Municipal deberá promover condiciones de seguridad y convivencia urbana, por medio de la prevención, presencia y educación, debiendo comunicarse con las fuerzas de seguridad, a través de marcado y llamado al Número de Emergencia 911.</w:t>
      </w:r>
    </w:p>
    <w:p w:rsidR="195652E2" w:rsidRDefault="195652E2" w:rsidP="195652E2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195652E2">
        <w:rPr>
          <w:rFonts w:ascii="Book Antiqua" w:hAnsi="Book Antiqua" w:cs="Times New Roman"/>
          <w:sz w:val="24"/>
          <w:szCs w:val="24"/>
        </w:rPr>
        <w:t>: La Guardia Urbana Municipal dependerá jerárquica y funcionalmente del Intendente a través de la Secretaría de Seguridad Pública del Municipio.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Pr="195652E2">
        <w:rPr>
          <w:rFonts w:ascii="Book Antiqua" w:hAnsi="Book Antiqua" w:cs="Times New Roman"/>
          <w:sz w:val="24"/>
          <w:szCs w:val="24"/>
        </w:rPr>
        <w:t>: Las tareas que desarrolla el personal de la Guardia Urbana Municipal constituyen un servicio público esencial tendiente a la promoción de las libertades y derechos de las personas como consecuencia de ello, a la protección de las mismas ante hechos lesivos de dichas libertades y derechos.-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Pr="195652E2">
        <w:rPr>
          <w:rFonts w:ascii="Book Antiqua" w:hAnsi="Book Antiqua" w:cs="Times New Roman"/>
          <w:sz w:val="24"/>
          <w:szCs w:val="24"/>
        </w:rPr>
        <w:t>: El personal de la Guardia Urbana Municipal deberá adecuar su conducta, durante el desempeño de sus funciones, al cumplimiento, en todo momento, de los deberes y reglamentarios vigentes, realizando una actividad cuyo fin es garantizar la seguridad pública, actuando con el grado de responsabilidad y ética profesional que su función exige y teniendo como meta la preservación y protección de la libertad, los derechos de las personas y el mantenimiento del orden público. -</w:t>
      </w:r>
    </w:p>
    <w:p w:rsidR="008F7C4B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SEPTIMO</w:t>
      </w:r>
      <w:r w:rsidRPr="195652E2">
        <w:rPr>
          <w:rFonts w:ascii="Book Antiqua" w:hAnsi="Book Antiqua" w:cs="Times New Roman"/>
          <w:sz w:val="24"/>
          <w:szCs w:val="24"/>
        </w:rPr>
        <w:t>: En ningún caso, el personal de la Guardia Urbana Municipal, en el marco de las acciones y actividades propias de sus misiones y funciones, puede: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Inducir a terceros a la comisión de actos delictivos o que afecten la intimidad y privacidad de las personas.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lastRenderedPageBreak/>
        <w:t>Influir de cualquier modo en la situación institucional, política, militar, policial, social y económica del país, en su política exterior, en la vida interna de los partidos políticos legalmente constituidos, en la opinión pública, en personas, en medios de difusión o en asociaciones o agrupaciones legales de cualquier tipo. -</w:t>
      </w:r>
    </w:p>
    <w:p w:rsidR="195652E2" w:rsidRPr="0051095C" w:rsidRDefault="195652E2" w:rsidP="0051095C">
      <w:pPr>
        <w:pStyle w:val="Prrafodelista"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Obtener información, producir inteligencia o almacenar datos sobre personas por el sólo hecho de su raza, fe religiosa, o identidad sexual, acciones privadas u opinión pública, o de adhesión o pertenencia a organizaciones partidarias, sociales, sindicales, comunitarias, cooperativas, asistenciales, culturales o laborales, así como por la actividad lícita que desarrollen en cualquier esfera de acción.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OCTAVO</w:t>
      </w:r>
      <w:r w:rsidRPr="195652E2">
        <w:rPr>
          <w:rFonts w:ascii="Book Antiqua" w:hAnsi="Book Antiqua" w:cs="Times New Roman"/>
          <w:sz w:val="24"/>
          <w:szCs w:val="24"/>
        </w:rPr>
        <w:t>: Son funciones de la Guardia Urbana Municipal: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Brindar seguridad a personas y bienes.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Prevenir la Comisión de delitos, contravenciones y faltas.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Hacer cesar la comisión de delitos, contravenciones y faltas, poniendo en conocimiento inmediato de los mismos a la autoridad policial, debiendo actuar conforme a las disposiciones procesales vigentes en el orden nacional o local, según corresponda al hecho en el cual se haya actuado.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Velar por el orden y la seguridad pública.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Implementar mecanismos de disuasión frente a hechos ilícitos o vulneratorios de la seguridad pública.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Intervenir en toda campaña y plan preventivo de seguridad que implemente la Secretaría de Seguridad, en los términos que le sea requerido.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Colaborar con las autoridades públicas ante una situación de emergencia.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Coordinar el esfuerzo policial con el resto de los agentes sociales o artísticos masivos, en colaboración con la policía.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Mantener una relación de cooperación con la Comunidad en la Labor Preventiva.</w:t>
      </w:r>
    </w:p>
    <w:p w:rsidR="195652E2" w:rsidRPr="0051095C" w:rsidRDefault="195652E2" w:rsidP="0051095C">
      <w:pPr>
        <w:pStyle w:val="Prrafodelista"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Asegurar el orden público en ocasión de los eventos deportivos o artísticos masivos, en colaboración la policía.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NOVENO</w:t>
      </w:r>
      <w:r w:rsidRPr="195652E2">
        <w:rPr>
          <w:rFonts w:ascii="Book Antiqua" w:hAnsi="Book Antiqua" w:cs="Times New Roman"/>
          <w:sz w:val="24"/>
          <w:szCs w:val="24"/>
        </w:rPr>
        <w:t>: Son requisitos para ser miembro de la Guardia Urbana Municipal: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Ser ciudadano/a nativo/a o por opción.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Tener, al momento de ingreso, una edad mínima de 25 años de edad.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Tener estudios secundarios completos.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Acreditar aptitud psicofísica compatible con la función y tarea a desarrollar.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 xml:space="preserve">Declarar bajo juramento cumplir </w:t>
      </w:r>
      <w:bookmarkStart w:id="0" w:name="_GoBack"/>
      <w:bookmarkEnd w:id="0"/>
      <w:r w:rsidRPr="0051095C">
        <w:rPr>
          <w:rFonts w:ascii="Book Antiqua" w:hAnsi="Book Antiqua" w:cs="Times New Roman"/>
          <w:sz w:val="24"/>
          <w:szCs w:val="24"/>
        </w:rPr>
        <w:t>y hacer cumplir la Constitución Nacional y la Constitución de la Provincia de Tucumán.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Acreditar una conducta pública adecuada al ejercicio de la función pública y a la función específica que reglamenta la presente norma.</w:t>
      </w:r>
    </w:p>
    <w:p w:rsidR="195652E2" w:rsidRPr="0051095C" w:rsidRDefault="195652E2" w:rsidP="0051095C">
      <w:pPr>
        <w:pStyle w:val="Prrafodelista"/>
        <w:numPr>
          <w:ilvl w:val="0"/>
          <w:numId w:val="4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Aprobar los programas y requisitos de formación y capacitación que establezca la presente norma y sus normas reglamentarias.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lastRenderedPageBreak/>
        <w:t>ARTÍCULO DÉCIMO</w:t>
      </w:r>
      <w:r w:rsidRPr="195652E2">
        <w:rPr>
          <w:rFonts w:ascii="Book Antiqua" w:hAnsi="Book Antiqua" w:cs="Times New Roman"/>
          <w:sz w:val="24"/>
          <w:szCs w:val="24"/>
        </w:rPr>
        <w:t>: Sin perjuicio de lo prescripto por el Artículo anterior, no pueden desempeñarse como miembros de la Guardia Municipal las siguientes personas: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incurrir en actos de fuerza contra el orden institucional y el sistema democrático, aun cuando se hubieren beneficiado por un indulto o condonación de la pena.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registren condena por violación a los Derechos Humanos.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delito doloso de cualquier índole.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condenados/as por incurrir en actos de fuerza contra el orden institucional y el sistema democrático, aun cuando se hubieren beneficiado por un indulto o condonación de la pena.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sancionados/as con exoneración o cesantía en la Administración Pública Nacional, o Provincial, Municipal.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pertenezcan a las Fuerzas Armadas.</w:t>
      </w:r>
    </w:p>
    <w:p w:rsidR="008F7C4B" w:rsidRPr="0051095C" w:rsidRDefault="195652E2" w:rsidP="0051095C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51095C">
        <w:rPr>
          <w:rFonts w:ascii="Book Antiqua" w:hAnsi="Book Antiqua" w:cs="Times New Roman"/>
          <w:sz w:val="24"/>
          <w:szCs w:val="24"/>
        </w:rPr>
        <w:t>Quienes hayan sido sancionado/as con destitución o sanción equivalente en las fuerzas policiales o de seguridad federales o provinciales u organismos de inteligencia.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</w:rPr>
        <w:t xml:space="preserve"> </w:t>
      </w: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PRIMERO</w:t>
      </w:r>
      <w:r w:rsidRPr="195652E2">
        <w:rPr>
          <w:rFonts w:ascii="Book Antiqua" w:hAnsi="Book Antiqua" w:cs="Times New Roman"/>
          <w:sz w:val="24"/>
          <w:szCs w:val="24"/>
        </w:rPr>
        <w:t xml:space="preserve">: El ingreso a la Guardia Urbana Municipal se producirá previa aprobación de la capacitación para la Seguridad Pública y de los exámenes que a tal efecto establezca la Secretaría de Seguridad Municipal. -  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SEGUNDO</w:t>
      </w:r>
      <w:r w:rsidRPr="195652E2">
        <w:rPr>
          <w:rFonts w:ascii="Book Antiqua" w:hAnsi="Book Antiqua" w:cs="Times New Roman"/>
          <w:sz w:val="24"/>
          <w:szCs w:val="24"/>
        </w:rPr>
        <w:t>: Las erogaciones que genera la aplicación de las normas de la presente Ordenanza, se imputarán al Rubro Bienes y Servicios No Personales, Partida Principal: Servicios No Personales, Cuenta: Honorarios y Retribuciones a Terceros, y para los gastos corrientes generados por la implementación de la presente Ordenanza, se imputarán a la Partida Principal: Bienes de Consumo. -</w:t>
      </w:r>
    </w:p>
    <w:p w:rsidR="008F7C4B" w:rsidRPr="00CC4258" w:rsidRDefault="195652E2" w:rsidP="195652E2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95652E2">
        <w:rPr>
          <w:rFonts w:ascii="Book Antiqua" w:hAnsi="Book Antiqua" w:cs="Times New Roman"/>
          <w:sz w:val="24"/>
          <w:szCs w:val="24"/>
          <w:u w:val="single"/>
        </w:rPr>
        <w:t>ARTÍCULO DÉCIMO TERCERO</w:t>
      </w:r>
      <w:r w:rsidRPr="195652E2">
        <w:rPr>
          <w:rFonts w:ascii="Book Antiqua" w:hAnsi="Book Antiqua" w:cs="Times New Roman"/>
          <w:sz w:val="24"/>
          <w:szCs w:val="24"/>
        </w:rPr>
        <w:t>:</w:t>
      </w:r>
      <w:r w:rsidRPr="195652E2">
        <w:rPr>
          <w:rFonts w:ascii="Book Antiqua" w:hAnsi="Book Antiqua" w:cs="Times New Roman"/>
          <w:b/>
          <w:bCs/>
          <w:sz w:val="24"/>
          <w:szCs w:val="24"/>
        </w:rPr>
        <w:t xml:space="preserve"> DEROGASE</w:t>
      </w:r>
      <w:r w:rsidRPr="195652E2">
        <w:rPr>
          <w:rFonts w:ascii="Book Antiqua" w:hAnsi="Book Antiqua" w:cs="Times New Roman"/>
          <w:sz w:val="24"/>
          <w:szCs w:val="24"/>
        </w:rPr>
        <w:t xml:space="preserve"> la Ordenanza Nº999/99.-</w:t>
      </w:r>
    </w:p>
    <w:p w:rsidR="008F7C4B" w:rsidRDefault="008F7C4B" w:rsidP="00062A26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F05F3">
        <w:rPr>
          <w:rFonts w:ascii="Book Antiqua" w:hAnsi="Book Antiqua" w:cs="Times New Roman"/>
          <w:sz w:val="24"/>
          <w:u w:val="single"/>
        </w:rPr>
        <w:t>ARTÍCULO </w:t>
      </w:r>
      <w:r w:rsidR="00BF05F3">
        <w:rPr>
          <w:rFonts w:ascii="Book Antiqua" w:hAnsi="Book Antiqua" w:cs="Times New Roman"/>
          <w:sz w:val="24"/>
          <w:u w:val="single"/>
        </w:rPr>
        <w:t>DÉCIMO</w:t>
      </w:r>
      <w:r w:rsidRPr="00BF05F3">
        <w:rPr>
          <w:rFonts w:ascii="Book Antiqua" w:hAnsi="Book Antiqua" w:cs="Times New Roman"/>
          <w:sz w:val="24"/>
          <w:u w:val="single"/>
        </w:rPr>
        <w:t xml:space="preserve"> CUARTO</w:t>
      </w:r>
      <w:r w:rsidRPr="00CC4258">
        <w:rPr>
          <w:rFonts w:ascii="Book Antiqua" w:hAnsi="Book Antiqua" w:cs="Times New Roman"/>
          <w:sz w:val="24"/>
        </w:rPr>
        <w:t xml:space="preserve">: </w:t>
      </w:r>
      <w:r w:rsidR="00062A26">
        <w:rPr>
          <w:rFonts w:ascii="Book Antiqua" w:hAnsi="Book Antiqua" w:cs="Times New Roman"/>
          <w:sz w:val="24"/>
        </w:rPr>
        <w:t>COMUNÍQUESE, REGÍSTRESE Y ARCHIVESE.</w:t>
      </w:r>
    </w:p>
    <w:sectPr w:rsidR="008F7C4B" w:rsidSect="00826C32">
      <w:footerReference w:type="default" r:id="rId8"/>
      <w:pgSz w:w="11906" w:h="16838"/>
      <w:pgMar w:top="1417" w:right="1134" w:bottom="1134" w:left="1701" w:header="709" w:footer="709" w:gutter="0"/>
      <w:pgNumType w:start="30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33B" w:rsidRDefault="00B5133B" w:rsidP="009C069C">
      <w:pPr>
        <w:spacing w:after="0" w:line="240" w:lineRule="auto"/>
      </w:pPr>
      <w:r>
        <w:separator/>
      </w:r>
    </w:p>
  </w:endnote>
  <w:endnote w:type="continuationSeparator" w:id="0">
    <w:p w:rsidR="00B5133B" w:rsidRDefault="00B5133B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826C32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33B" w:rsidRDefault="00B5133B" w:rsidP="009C069C">
      <w:pPr>
        <w:spacing w:after="0" w:line="240" w:lineRule="auto"/>
      </w:pPr>
      <w:r>
        <w:separator/>
      </w:r>
    </w:p>
  </w:footnote>
  <w:footnote w:type="continuationSeparator" w:id="0">
    <w:p w:rsidR="00B5133B" w:rsidRDefault="00B5133B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133B8"/>
    <w:multiLevelType w:val="hybridMultilevel"/>
    <w:tmpl w:val="A82C5302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6E56B8"/>
    <w:multiLevelType w:val="hybridMultilevel"/>
    <w:tmpl w:val="194CD610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2A4528"/>
    <w:multiLevelType w:val="hybridMultilevel"/>
    <w:tmpl w:val="2550D2B0"/>
    <w:lvl w:ilvl="0" w:tplc="3C8875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D25B70"/>
    <w:multiLevelType w:val="hybridMultilevel"/>
    <w:tmpl w:val="9A0C5B82"/>
    <w:lvl w:ilvl="0" w:tplc="0E40EB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414BD2"/>
    <w:multiLevelType w:val="hybridMultilevel"/>
    <w:tmpl w:val="1562902C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8F62F71"/>
    <w:multiLevelType w:val="hybridMultilevel"/>
    <w:tmpl w:val="A2CAC2E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815854"/>
    <w:multiLevelType w:val="hybridMultilevel"/>
    <w:tmpl w:val="1CA89DE8"/>
    <w:lvl w:ilvl="0" w:tplc="B574B9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532F86"/>
    <w:multiLevelType w:val="hybridMultilevel"/>
    <w:tmpl w:val="E23E0A4A"/>
    <w:lvl w:ilvl="0" w:tplc="040A0015">
      <w:start w:val="1"/>
      <w:numFmt w:val="upperLetter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A34296"/>
    <w:multiLevelType w:val="hybridMultilevel"/>
    <w:tmpl w:val="5574CDA2"/>
    <w:lvl w:ilvl="0" w:tplc="206059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2A26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0C5E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095C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26C32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914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133B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247D0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457BF"/>
    <w:rsid w:val="00F72DB9"/>
    <w:rsid w:val="00F76ECC"/>
    <w:rsid w:val="00FC52D3"/>
    <w:rsid w:val="19565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5109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A9B42C-B939-4372-99B7-AE442A854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1025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8</cp:revision>
  <cp:lastPrinted>2018-04-26T15:09:00Z</cp:lastPrinted>
  <dcterms:created xsi:type="dcterms:W3CDTF">2017-09-08T16:38:00Z</dcterms:created>
  <dcterms:modified xsi:type="dcterms:W3CDTF">2018-04-26T15:09:00Z</dcterms:modified>
</cp:coreProperties>
</file>