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r w:rsidRPr="00A83869">
        <w:rPr>
          <w:rFonts w:ascii="Arial" w:hAnsi="Arial" w:cs="Arial"/>
          <w:color w:val="000000"/>
          <w:sz w:val="22"/>
          <w:szCs w:val="22"/>
          <w:shd w:val="clear" w:color="auto" w:fill="FFFFFF"/>
          <w:lang w:val="es-US"/>
        </w:rPr>
        <w:t>.</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xml:space="preserve">. Finalmente, BGP se </w:t>
      </w:r>
      <w:r w:rsidRPr="00D327B3">
        <w:rPr>
          <w:rFonts w:ascii="Arial" w:hAnsi="Arial" w:cs="Arial"/>
          <w:color w:val="000000"/>
          <w:sz w:val="22"/>
          <w:szCs w:val="22"/>
          <w:lang w:val="es-US"/>
        </w:rPr>
        <w:lastRenderedPageBreak/>
        <w:t>posiciona como la columna vertebral del enrutamiento global de Internet, destacando por su robustez, control de políticas y escalabilidad, a costa de una mayor complejidad y una convergencia más lenta.</w:t>
      </w:r>
    </w:p>
    <w:p w14:paraId="7C25C726" w14:textId="3F97F6CD" w:rsidR="00C443A2"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Pr>
          <w:rFonts w:ascii="Arial" w:hAnsi="Arial" w:cs="Arial"/>
          <w:color w:val="000000"/>
          <w:sz w:val="22"/>
          <w:szCs w:val="22"/>
          <w:lang w:val="es-US"/>
        </w:rPr>
        <w:t>.</w:t>
      </w:r>
    </w:p>
    <w:p w14:paraId="19A9A8B2" w14:textId="77777777" w:rsidR="00D327B3" w:rsidRPr="00D327B3" w:rsidRDefault="00D327B3" w:rsidP="00D327B3">
      <w:pPr>
        <w:pStyle w:val="NormalWeb"/>
        <w:spacing w:before="0" w:beforeAutospacing="0" w:after="240" w:afterAutospacing="0" w:line="360" w:lineRule="auto"/>
        <w:jc w:val="both"/>
        <w:rPr>
          <w:lang w:val="es-US"/>
        </w:rPr>
      </w:pPr>
    </w:p>
    <w:sectPr w:rsidR="00D327B3" w:rsidRPr="00D327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5"/>
  </w:num>
  <w:num w:numId="3" w16cid:durableId="96364340">
    <w:abstractNumId w:val="4"/>
  </w:num>
  <w:num w:numId="4" w16cid:durableId="111286467">
    <w:abstractNumId w:val="1"/>
  </w:num>
  <w:num w:numId="5" w16cid:durableId="1929465082">
    <w:abstractNumId w:val="6"/>
  </w:num>
  <w:num w:numId="6" w16cid:durableId="286937004">
    <w:abstractNumId w:val="3"/>
  </w:num>
  <w:num w:numId="7" w16cid:durableId="151992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906CA"/>
    <w:rsid w:val="00207F4D"/>
    <w:rsid w:val="00537048"/>
    <w:rsid w:val="0069409D"/>
    <w:rsid w:val="00713A5D"/>
    <w:rsid w:val="009F02B3"/>
    <w:rsid w:val="00A83869"/>
    <w:rsid w:val="00A86F24"/>
    <w:rsid w:val="00B019D5"/>
    <w:rsid w:val="00B12C41"/>
    <w:rsid w:val="00B81CA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12</cp:revision>
  <dcterms:created xsi:type="dcterms:W3CDTF">2025-05-22T18:14:00Z</dcterms:created>
  <dcterms:modified xsi:type="dcterms:W3CDTF">2025-05-23T01:54:00Z</dcterms:modified>
</cp:coreProperties>
</file>