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173B3249" w14:textId="77777777" w:rsidR="001B19F0" w:rsidRPr="001B19F0" w:rsidRDefault="001B19F0" w:rsidP="001B19F0">
      <w:pPr>
        <w:pStyle w:val="NormalWeb"/>
        <w:spacing w:before="0" w:after="200" w:line="360" w:lineRule="auto"/>
        <w:rPr>
          <w:color w:val="000000"/>
          <w:shd w:val="clear" w:color="auto" w:fill="FFFFFF"/>
          <w:lang w:val="es-SV"/>
        </w:rPr>
      </w:pPr>
      <w:r w:rsidRPr="001B19F0">
        <w:rPr>
          <w:b/>
          <w:bCs/>
          <w:color w:val="000000"/>
          <w:shd w:val="clear" w:color="auto" w:fill="FFFFFF"/>
          <w:lang w:val="es-SV"/>
        </w:rPr>
        <w:t>Protocolo OSPF</w:t>
      </w:r>
    </w:p>
    <w:p w14:paraId="5504E5D2"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 xml:space="preserve">OSPF, </w:t>
      </w:r>
      <w:proofErr w:type="spellStart"/>
      <w:r w:rsidRPr="001B19F0">
        <w:rPr>
          <w:color w:val="000000"/>
          <w:shd w:val="clear" w:color="auto" w:fill="FFFFFF"/>
          <w:lang w:val="es-SV"/>
        </w:rPr>
        <w:t>o</w:t>
      </w:r>
      <w:proofErr w:type="spellEnd"/>
      <w:r w:rsidRPr="001B19F0">
        <w:rPr>
          <w:color w:val="000000"/>
          <w:shd w:val="clear" w:color="auto" w:fill="FFFFFF"/>
          <w:lang w:val="es-SV"/>
        </w:rPr>
        <w:t xml:space="preserve"> Open </w:t>
      </w:r>
      <w:proofErr w:type="spellStart"/>
      <w:r w:rsidRPr="001B19F0">
        <w:rPr>
          <w:color w:val="000000"/>
          <w:shd w:val="clear" w:color="auto" w:fill="FFFFFF"/>
          <w:lang w:val="es-SV"/>
        </w:rPr>
        <w:t>Shortest</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Path</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First</w:t>
      </w:r>
      <w:proofErr w:type="spellEnd"/>
      <w:r w:rsidRPr="001B19F0">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37F1982F" w14:textId="77777777" w:rsidR="001B19F0" w:rsidRPr="001B19F0" w:rsidRDefault="001B19F0" w:rsidP="001B19F0">
      <w:pPr>
        <w:pStyle w:val="NormalWeb"/>
        <w:numPr>
          <w:ilvl w:val="0"/>
          <w:numId w:val="10"/>
        </w:numPr>
        <w:spacing w:after="200" w:line="360" w:lineRule="auto"/>
        <w:rPr>
          <w:color w:val="000000"/>
          <w:shd w:val="clear" w:color="auto" w:fill="FFFFFF"/>
          <w:lang w:val="es-SV"/>
        </w:rPr>
      </w:pPr>
      <w:r w:rsidRPr="001B19F0">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4A681652" w14:textId="77777777" w:rsidR="001B19F0" w:rsidRPr="001B19F0" w:rsidRDefault="001B19F0" w:rsidP="001B19F0">
      <w:pPr>
        <w:pStyle w:val="NormalWeb"/>
        <w:numPr>
          <w:ilvl w:val="0"/>
          <w:numId w:val="11"/>
        </w:numPr>
        <w:spacing w:after="200" w:line="360" w:lineRule="auto"/>
        <w:rPr>
          <w:color w:val="000000"/>
          <w:shd w:val="clear" w:color="auto" w:fill="FFFFFF"/>
          <w:lang w:val="es-SV"/>
        </w:rPr>
      </w:pPr>
      <w:r w:rsidRPr="001B19F0">
        <w:rPr>
          <w:color w:val="000000"/>
          <w:shd w:val="clear" w:color="auto" w:fill="FFFFFF"/>
          <w:lang w:val="es-SV"/>
        </w:rPr>
        <w:t>Escalabilidad: OSPF utiliza el concepto de áreas para dividir la red en subconjuntos más pequeños, lo que facilita el manejo de redes grandes y complejas. </w:t>
      </w:r>
    </w:p>
    <w:p w14:paraId="162D1A10" w14:textId="77777777" w:rsidR="001B19F0" w:rsidRPr="001B19F0" w:rsidRDefault="001B19F0" w:rsidP="001B19F0">
      <w:pPr>
        <w:pStyle w:val="NormalWeb"/>
        <w:numPr>
          <w:ilvl w:val="0"/>
          <w:numId w:val="12"/>
        </w:numPr>
        <w:spacing w:after="200" w:line="360" w:lineRule="auto"/>
        <w:rPr>
          <w:color w:val="000000"/>
          <w:shd w:val="clear" w:color="auto" w:fill="FFFFFF"/>
          <w:lang w:val="es-SV"/>
        </w:rPr>
      </w:pPr>
      <w:r w:rsidRPr="001B19F0">
        <w:rPr>
          <w:color w:val="000000"/>
          <w:shd w:val="clear" w:color="auto" w:fill="FFFFFF"/>
          <w:lang w:val="es-SV"/>
        </w:rPr>
        <w:lastRenderedPageBreak/>
        <w:t>Áreas: OSPF utiliza áreas para dividir la red en grupos lógicos. El área 0 (</w:t>
      </w:r>
      <w:proofErr w:type="spellStart"/>
      <w:r w:rsidRPr="001B19F0">
        <w:rPr>
          <w:color w:val="000000"/>
          <w:shd w:val="clear" w:color="auto" w:fill="FFFFFF"/>
          <w:lang w:val="es-SV"/>
        </w:rPr>
        <w:t>backbone</w:t>
      </w:r>
      <w:proofErr w:type="spellEnd"/>
      <w:r w:rsidRPr="001B19F0">
        <w:rPr>
          <w:color w:val="000000"/>
          <w:shd w:val="clear" w:color="auto" w:fill="FFFFFF"/>
          <w:lang w:val="es-SV"/>
        </w:rPr>
        <w:t>) es obligatoria y conecta todas las demás áreas. </w:t>
      </w:r>
    </w:p>
    <w:p w14:paraId="5B4D9C38" w14:textId="77777777" w:rsidR="001B19F0" w:rsidRPr="001B19F0" w:rsidRDefault="001B19F0" w:rsidP="001B19F0">
      <w:pPr>
        <w:pStyle w:val="NormalWeb"/>
        <w:numPr>
          <w:ilvl w:val="0"/>
          <w:numId w:val="13"/>
        </w:numPr>
        <w:spacing w:after="200" w:line="360" w:lineRule="auto"/>
        <w:rPr>
          <w:color w:val="000000"/>
          <w:shd w:val="clear" w:color="auto" w:fill="FFFFFF"/>
          <w:lang w:val="es-SV"/>
        </w:rPr>
      </w:pPr>
      <w:r w:rsidRPr="001B19F0">
        <w:rPr>
          <w:color w:val="000000"/>
          <w:shd w:val="clear" w:color="auto" w:fill="FFFFFF"/>
          <w:lang w:val="es-SV"/>
        </w:rPr>
        <w:t xml:space="preserve">Tipos de áreas: OSPF soporta diferentes tipos de áreas, como </w:t>
      </w:r>
      <w:proofErr w:type="spellStart"/>
      <w:r w:rsidRPr="001B19F0">
        <w:rPr>
          <w:color w:val="000000"/>
          <w:shd w:val="clear" w:color="auto" w:fill="FFFFFF"/>
          <w:lang w:val="es-SV"/>
        </w:rPr>
        <w:t>stub</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not</w:t>
      </w:r>
      <w:proofErr w:type="spellEnd"/>
      <w:r w:rsidRPr="001B19F0">
        <w:rPr>
          <w:color w:val="000000"/>
          <w:shd w:val="clear" w:color="auto" w:fill="FFFFFF"/>
          <w:lang w:val="es-SV"/>
        </w:rPr>
        <w:t>-so-</w:t>
      </w:r>
      <w:proofErr w:type="spellStart"/>
      <w:r w:rsidRPr="001B19F0">
        <w:rPr>
          <w:color w:val="000000"/>
          <w:shd w:val="clear" w:color="auto" w:fill="FFFFFF"/>
          <w:lang w:val="es-SV"/>
        </w:rPr>
        <w:t>stubby</w:t>
      </w:r>
      <w:proofErr w:type="spellEnd"/>
      <w:r w:rsidRPr="001B19F0">
        <w:rPr>
          <w:color w:val="000000"/>
          <w:shd w:val="clear" w:color="auto" w:fill="FFFFFF"/>
          <w:lang w:val="es-SV"/>
        </w:rPr>
        <w:t xml:space="preserve"> y áreas externas, que permiten diferentes niveles de control sobre el intercambio de información de enrutamiento. </w:t>
      </w:r>
    </w:p>
    <w:p w14:paraId="4B6F0A54" w14:textId="77777777" w:rsidR="001B19F0" w:rsidRPr="001B19F0" w:rsidRDefault="001B19F0" w:rsidP="001B19F0">
      <w:pPr>
        <w:pStyle w:val="NormalWeb"/>
        <w:numPr>
          <w:ilvl w:val="0"/>
          <w:numId w:val="14"/>
        </w:numPr>
        <w:spacing w:after="200" w:line="360" w:lineRule="auto"/>
        <w:rPr>
          <w:color w:val="000000"/>
          <w:shd w:val="clear" w:color="auto" w:fill="FFFFFF"/>
          <w:lang w:val="es-SV"/>
        </w:rPr>
      </w:pPr>
      <w:r w:rsidRPr="001B19F0">
        <w:rPr>
          <w:color w:val="000000"/>
          <w:shd w:val="clear" w:color="auto" w:fill="FFFFFF"/>
          <w:lang w:val="es-SV"/>
        </w:rPr>
        <w:t>Algoritmo SPF (</w:t>
      </w:r>
      <w:proofErr w:type="spellStart"/>
      <w:r w:rsidRPr="001B19F0">
        <w:rPr>
          <w:color w:val="000000"/>
          <w:shd w:val="clear" w:color="auto" w:fill="FFFFFF"/>
          <w:lang w:val="es-SV"/>
        </w:rPr>
        <w:t>Shortest</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Path</w:t>
      </w:r>
      <w:proofErr w:type="spellEnd"/>
      <w:r w:rsidRPr="001B19F0">
        <w:rPr>
          <w:color w:val="000000"/>
          <w:shd w:val="clear" w:color="auto" w:fill="FFFFFF"/>
          <w:lang w:val="es-SV"/>
        </w:rPr>
        <w:t xml:space="preserve"> </w:t>
      </w:r>
      <w:proofErr w:type="spellStart"/>
      <w:r w:rsidRPr="001B19F0">
        <w:rPr>
          <w:color w:val="000000"/>
          <w:shd w:val="clear" w:color="auto" w:fill="FFFFFF"/>
          <w:lang w:val="es-SV"/>
        </w:rPr>
        <w:t>First</w:t>
      </w:r>
      <w:proofErr w:type="spellEnd"/>
      <w:r w:rsidRPr="001B19F0">
        <w:rPr>
          <w:color w:val="000000"/>
          <w:shd w:val="clear" w:color="auto" w:fill="FFFFFF"/>
          <w:lang w:val="es-SV"/>
        </w:rPr>
        <w:t>): OSPF utiliza el algoritmo SPF para calcular las rutas más cortas y eficientes a través de la red. </w:t>
      </w:r>
    </w:p>
    <w:p w14:paraId="7DEC0743" w14:textId="77777777" w:rsidR="001B19F0" w:rsidRPr="001B19F0" w:rsidRDefault="001B19F0" w:rsidP="001B19F0">
      <w:pPr>
        <w:pStyle w:val="NormalWeb"/>
        <w:numPr>
          <w:ilvl w:val="0"/>
          <w:numId w:val="15"/>
        </w:numPr>
        <w:spacing w:after="200" w:line="360" w:lineRule="auto"/>
        <w:rPr>
          <w:color w:val="000000"/>
          <w:shd w:val="clear" w:color="auto" w:fill="FFFFFF"/>
          <w:lang w:val="es-SV"/>
        </w:rPr>
      </w:pPr>
      <w:r w:rsidRPr="001B19F0">
        <w:rPr>
          <w:color w:val="000000"/>
          <w:shd w:val="clear" w:color="auto" w:fill="FFFFFF"/>
          <w:lang w:val="es-SV"/>
        </w:rPr>
        <w:t>Anuncios de estado de enlace (LSA): OSPF utiliza anuncios de estado de enlace para describir el estado de los enlaces entre los enrutadores. </w:t>
      </w:r>
    </w:p>
    <w:p w14:paraId="62DF91DE" w14:textId="77777777" w:rsidR="001B19F0" w:rsidRPr="001B19F0" w:rsidRDefault="001B19F0" w:rsidP="001B19F0">
      <w:pPr>
        <w:pStyle w:val="NormalWeb"/>
        <w:numPr>
          <w:ilvl w:val="0"/>
          <w:numId w:val="16"/>
        </w:numPr>
        <w:spacing w:after="200" w:line="360" w:lineRule="auto"/>
        <w:rPr>
          <w:color w:val="000000"/>
          <w:shd w:val="clear" w:color="auto" w:fill="FFFFFF"/>
          <w:lang w:val="es-SV"/>
        </w:rPr>
      </w:pPr>
      <w:r w:rsidRPr="001B19F0">
        <w:rPr>
          <w:color w:val="000000"/>
          <w:shd w:val="clear" w:color="auto" w:fill="FFFFFF"/>
          <w:lang w:val="es-SV"/>
        </w:rPr>
        <w:t>Ventajas: OSPF es conocido por su eficiencia, convergencia rápida y capacidad para adaptarse a los cambios en la topología de la red. </w:t>
      </w:r>
    </w:p>
    <w:p w14:paraId="35EBEDA8"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7F08F9BC" w14:textId="77777777" w:rsidR="001B19F0" w:rsidRPr="001B19F0" w:rsidRDefault="001B19F0"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lastRenderedPageBreak/>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destino y una lista de vecinos que han anunciado el destino. Para cada vecino, se registra la </w:t>
      </w:r>
      <w:r w:rsidRPr="00A83869">
        <w:rPr>
          <w:rFonts w:ascii="Arial" w:hAnsi="Arial" w:cs="Arial"/>
          <w:color w:val="000000"/>
          <w:sz w:val="22"/>
          <w:szCs w:val="22"/>
          <w:shd w:val="clear" w:color="auto" w:fill="FFFFFF"/>
          <w:lang w:val="es-US"/>
        </w:rPr>
        <w:lastRenderedPageBreak/>
        <w:t>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lastRenderedPageBreak/>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lastRenderedPageBreak/>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 xml:space="preserve">El caso de estudio de Cisco ilustra cómo la combinación estratégica de estos protocolos puede ofrecer una red híbrida eficiente, resiliente y segura, adaptada a diversas topologías y </w:t>
      </w:r>
      <w:r w:rsidRPr="00D327B3">
        <w:rPr>
          <w:rFonts w:ascii="Arial" w:hAnsi="Arial" w:cs="Arial"/>
          <w:color w:val="000000"/>
          <w:sz w:val="22"/>
          <w:szCs w:val="22"/>
          <w:lang w:val="es-US"/>
        </w:rPr>
        <w:lastRenderedPageBreak/>
        <w:t>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B4C"/>
    <w:multiLevelType w:val="multilevel"/>
    <w:tmpl w:val="1F8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28C"/>
    <w:multiLevelType w:val="multilevel"/>
    <w:tmpl w:val="7C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6F8F"/>
    <w:multiLevelType w:val="multilevel"/>
    <w:tmpl w:val="0F9E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0A88"/>
    <w:multiLevelType w:val="multilevel"/>
    <w:tmpl w:val="802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2E2E"/>
    <w:multiLevelType w:val="multilevel"/>
    <w:tmpl w:val="AA1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254D0"/>
    <w:multiLevelType w:val="multilevel"/>
    <w:tmpl w:val="E3E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2EC8"/>
    <w:multiLevelType w:val="multilevel"/>
    <w:tmpl w:val="CA6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1"/>
  </w:num>
  <w:num w:numId="3" w16cid:durableId="96364340">
    <w:abstractNumId w:val="10"/>
  </w:num>
  <w:num w:numId="4" w16cid:durableId="111286467">
    <w:abstractNumId w:val="1"/>
  </w:num>
  <w:num w:numId="5" w16cid:durableId="1929465082">
    <w:abstractNumId w:val="15"/>
  </w:num>
  <w:num w:numId="6" w16cid:durableId="286937004">
    <w:abstractNumId w:val="9"/>
  </w:num>
  <w:num w:numId="7" w16cid:durableId="1519926771">
    <w:abstractNumId w:val="5"/>
  </w:num>
  <w:num w:numId="8" w16cid:durableId="496576368">
    <w:abstractNumId w:val="7"/>
  </w:num>
  <w:num w:numId="9" w16cid:durableId="314262121">
    <w:abstractNumId w:val="14"/>
  </w:num>
  <w:num w:numId="10" w16cid:durableId="1858038692">
    <w:abstractNumId w:val="12"/>
  </w:num>
  <w:num w:numId="11" w16cid:durableId="357506940">
    <w:abstractNumId w:val="8"/>
  </w:num>
  <w:num w:numId="12" w16cid:durableId="1745879137">
    <w:abstractNumId w:val="4"/>
  </w:num>
  <w:num w:numId="13" w16cid:durableId="1427770128">
    <w:abstractNumId w:val="6"/>
  </w:num>
  <w:num w:numId="14" w16cid:durableId="942882175">
    <w:abstractNumId w:val="3"/>
  </w:num>
  <w:num w:numId="15" w16cid:durableId="100031130">
    <w:abstractNumId w:val="13"/>
  </w:num>
  <w:num w:numId="16" w16cid:durableId="1129318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B19F0"/>
    <w:rsid w:val="00207F4D"/>
    <w:rsid w:val="004D3211"/>
    <w:rsid w:val="00537048"/>
    <w:rsid w:val="005A5158"/>
    <w:rsid w:val="0069409D"/>
    <w:rsid w:val="00713A5D"/>
    <w:rsid w:val="007B3F26"/>
    <w:rsid w:val="009F02B3"/>
    <w:rsid w:val="00A83869"/>
    <w:rsid w:val="00A86F24"/>
    <w:rsid w:val="00AD18E2"/>
    <w:rsid w:val="00B019D5"/>
    <w:rsid w:val="00B12C41"/>
    <w:rsid w:val="00B34456"/>
    <w:rsid w:val="00B81CA7"/>
    <w:rsid w:val="00C443A2"/>
    <w:rsid w:val="00C72707"/>
    <w:rsid w:val="00D327B3"/>
    <w:rsid w:val="00D44F3D"/>
    <w:rsid w:val="00F17F95"/>
    <w:rsid w:val="00FD3F66"/>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12689949">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690720650">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19</cp:revision>
  <dcterms:created xsi:type="dcterms:W3CDTF">2025-05-22T18:14:00Z</dcterms:created>
  <dcterms:modified xsi:type="dcterms:W3CDTF">2025-05-23T20:03:00Z</dcterms:modified>
</cp:coreProperties>
</file>