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39884" w14:textId="74D161F4" w:rsidR="00476885" w:rsidRDefault="00730A43">
      <w:r>
        <w:t>4E – PROVA DE ECONOMIA</w:t>
      </w:r>
    </w:p>
    <w:p w14:paraId="0CB15676" w14:textId="77777777" w:rsidR="00DC28C8" w:rsidRDefault="00DC28C8"/>
    <w:p w14:paraId="1FA7D603" w14:textId="2181D411" w:rsidR="006F60AC" w:rsidRDefault="006F60AC">
      <w:r>
        <w:t>Alejandro Ortiz</w:t>
      </w:r>
    </w:p>
    <w:p w14:paraId="040A7D9E" w14:textId="77777777" w:rsidR="00DC28C8" w:rsidRDefault="00DC28C8"/>
    <w:p w14:paraId="2B59E627" w14:textId="6D91CAB6" w:rsidR="00730A43" w:rsidRDefault="00730A43" w:rsidP="00584BE0">
      <w:pPr>
        <w:jc w:val="both"/>
      </w:pPr>
      <w:r>
        <w:t xml:space="preserve">A retomada da economia brasileira tem sido, até o momento, robusta, porém de caráter heterogêneo entre os setores. </w:t>
      </w:r>
      <w:r w:rsidR="00C50EFD">
        <w:t>A</w:t>
      </w:r>
      <w:r>
        <w:t xml:space="preserve"> combinação de uma política fiscal e monetária expansionista, conjugad</w:t>
      </w:r>
      <w:r w:rsidR="00C50EFD">
        <w:t>a</w:t>
      </w:r>
      <w:r>
        <w:t xml:space="preserve"> ao efeito de alta mecânico produzido pelo processo de reabertura dos negócios, tem criado terreno fértil para que a economia surpreendesse e deixasse de lado as expectativas mais pessimistas quanto à magnitude de queda do PIB durante a crise. Isto fica claro com as </w:t>
      </w:r>
      <w:r w:rsidR="00C50EFD">
        <w:t>sucessivas revisões</w:t>
      </w:r>
      <w:r>
        <w:t xml:space="preserve"> de projeção</w:t>
      </w:r>
      <w:r w:rsidR="00C50EFD">
        <w:t xml:space="preserve"> da atividade</w:t>
      </w:r>
      <w:r>
        <w:t xml:space="preserve"> por parte do mercado, </w:t>
      </w:r>
      <w:r w:rsidR="00C50EFD">
        <w:t xml:space="preserve">que, de </w:t>
      </w:r>
      <w:r w:rsidR="0042795C">
        <w:t>junho</w:t>
      </w:r>
      <w:r w:rsidR="00C50EFD">
        <w:t xml:space="preserve"> para cá, revisou sua expectativa de contração do PIB de</w:t>
      </w:r>
      <w:r w:rsidR="00945CC2">
        <w:t xml:space="preserve"> algo em torno</w:t>
      </w:r>
      <w:r w:rsidR="00A4181B">
        <w:t xml:space="preserve"> de</w:t>
      </w:r>
      <w:r w:rsidR="00C50EFD">
        <w:t xml:space="preserve"> </w:t>
      </w:r>
      <w:r w:rsidR="0042795C">
        <w:t>-6</w:t>
      </w:r>
      <w:r w:rsidR="00C50EFD">
        <w:t>,</w:t>
      </w:r>
      <w:r w:rsidR="0042795C">
        <w:t>50</w:t>
      </w:r>
      <w:r w:rsidR="00C50EFD">
        <w:t xml:space="preserve">% para </w:t>
      </w:r>
      <w:r w:rsidR="0042795C">
        <w:t>-4</w:t>
      </w:r>
      <w:r w:rsidR="00C50EFD">
        <w:t>,</w:t>
      </w:r>
      <w:r w:rsidR="0042795C">
        <w:t>50</w:t>
      </w:r>
      <w:r w:rsidR="00C50EFD">
        <w:t xml:space="preserve">%. </w:t>
      </w:r>
    </w:p>
    <w:p w14:paraId="71662487" w14:textId="76944D25" w:rsidR="0042795C" w:rsidRDefault="0042795C" w:rsidP="00730A43">
      <w:pPr>
        <w:jc w:val="both"/>
      </w:pPr>
    </w:p>
    <w:p w14:paraId="32607941" w14:textId="78F36396" w:rsidR="0042795C" w:rsidRDefault="0042795C" w:rsidP="0042795C">
      <w:pPr>
        <w:jc w:val="center"/>
      </w:pPr>
      <w:r>
        <w:rPr>
          <w:noProof/>
        </w:rPr>
        <w:drawing>
          <wp:inline distT="0" distB="0" distL="0" distR="0" wp14:anchorId="2C4062B6" wp14:editId="2BBCFF19">
            <wp:extent cx="5400000" cy="2520000"/>
            <wp:effectExtent l="0" t="0" r="0" b="0"/>
            <wp:docPr id="1" name="Gráfico 1">
              <a:extLst xmlns:a="http://schemas.openxmlformats.org/drawingml/2006/main">
                <a:ext uri="{FF2B5EF4-FFF2-40B4-BE49-F238E27FC236}">
                  <a16:creationId xmlns:a16="http://schemas.microsoft.com/office/drawing/2014/main" id="{747DCE0B-6435-45FD-AE4F-EA833FE8E2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105893C" w14:textId="0C6E9991" w:rsidR="00C50EFD" w:rsidRDefault="00C50EFD" w:rsidP="00730A43">
      <w:pPr>
        <w:jc w:val="both"/>
      </w:pPr>
    </w:p>
    <w:p w14:paraId="4E19BD19" w14:textId="7B294FA9" w:rsidR="003A7354" w:rsidRDefault="00C50EFD" w:rsidP="00730A43">
      <w:pPr>
        <w:jc w:val="both"/>
      </w:pPr>
      <w:r>
        <w:t>Como mencionado, porém, o desempenho dos três grandes setores da economia tem sido bastante diferente. Por um lado, a indústria e o varejo têm registrado desempenhos estelares desde o processo de reabertura, enquanto o setor de serviços demonstra enorme resistência para se recuperar.</w:t>
      </w:r>
      <w:r w:rsidR="00663109">
        <w:t xml:space="preserve"> Esta divergência no desempenho dos setores pode ser claramente observada no gráfico </w:t>
      </w:r>
      <w:r w:rsidR="00584BE0">
        <w:t>2</w:t>
      </w:r>
      <w:r w:rsidR="00663109">
        <w:t xml:space="preserve">, que traça a evolução da atividade </w:t>
      </w:r>
      <w:r w:rsidR="002D0BC5">
        <w:t>d</w:t>
      </w:r>
      <w:r w:rsidR="00663109">
        <w:t xml:space="preserve">os três setores ao longo do ano de 2020. </w:t>
      </w:r>
    </w:p>
    <w:p w14:paraId="59CE754C" w14:textId="6076B814" w:rsidR="00584BE0" w:rsidRDefault="00584BE0" w:rsidP="00730A43">
      <w:pPr>
        <w:jc w:val="both"/>
      </w:pPr>
    </w:p>
    <w:p w14:paraId="4948E035" w14:textId="70B9EC42" w:rsidR="00663109" w:rsidRDefault="00584BE0" w:rsidP="00A03452">
      <w:pPr>
        <w:jc w:val="center"/>
      </w:pPr>
      <w:r>
        <w:rPr>
          <w:noProof/>
        </w:rPr>
        <w:lastRenderedPageBreak/>
        <w:drawing>
          <wp:inline distT="0" distB="0" distL="0" distR="0" wp14:anchorId="0EF4F74D" wp14:editId="649C404F">
            <wp:extent cx="5400000" cy="2520000"/>
            <wp:effectExtent l="0" t="0" r="0" b="0"/>
            <wp:docPr id="2" name="Gráfico 2">
              <a:extLst xmlns:a="http://schemas.openxmlformats.org/drawingml/2006/main">
                <a:ext uri="{FF2B5EF4-FFF2-40B4-BE49-F238E27FC236}">
                  <a16:creationId xmlns:a16="http://schemas.microsoft.com/office/drawing/2014/main" id="{79106DCB-C8F5-4087-ADD0-150CF923DA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061031" w14:textId="132F6561" w:rsidR="00C50EFD" w:rsidRDefault="00C50EFD" w:rsidP="00730A43">
      <w:pPr>
        <w:jc w:val="both"/>
      </w:pPr>
      <w:r>
        <w:t xml:space="preserve">Este enorme descompasso de desempenho naturalmente se explica em função da dinâmica social instalada pela pandemia. </w:t>
      </w:r>
      <w:r w:rsidR="00663109">
        <w:t xml:space="preserve">O setor de serviços, ao contrário do setor industrial e varejista, depende amplamente do contato social para executar suas operações, tornando-o altamente sensível à taxa de propagação do coronavírus. </w:t>
      </w:r>
      <w:r w:rsidR="00996961">
        <w:t>A</w:t>
      </w:r>
      <w:r w:rsidR="00663109">
        <w:t xml:space="preserve"> indisponibilidade de uma vacina, assim como o</w:t>
      </w:r>
      <w:r w:rsidR="00996961">
        <w:t xml:space="preserve"> próprio</w:t>
      </w:r>
      <w:r w:rsidR="00663109">
        <w:t xml:space="preserve"> fator medo decorrente da existência</w:t>
      </w:r>
      <w:r w:rsidR="003A7354">
        <w:t xml:space="preserve"> e dinâmica</w:t>
      </w:r>
      <w:r w:rsidR="00663109">
        <w:t xml:space="preserve"> do vírus, tem mantido a demanda por serviços – principalmente serviços prestados às famílias – deprimida. </w:t>
      </w:r>
      <w:r>
        <w:t xml:space="preserve">  </w:t>
      </w:r>
    </w:p>
    <w:p w14:paraId="16BE2FCD" w14:textId="193C7DAD" w:rsidR="00663109" w:rsidRDefault="00663109" w:rsidP="00730A43">
      <w:pPr>
        <w:jc w:val="both"/>
      </w:pPr>
    </w:p>
    <w:p w14:paraId="40AE2426" w14:textId="68052D5E" w:rsidR="00663109" w:rsidRDefault="00663109" w:rsidP="00730A43">
      <w:pPr>
        <w:jc w:val="both"/>
      </w:pPr>
      <w:r>
        <w:t xml:space="preserve">O processo de recuperação econômica deve se </w:t>
      </w:r>
      <w:r w:rsidR="00996961">
        <w:t>estender, embora a um ritmo reduzido, até o final do ano. A perda de tração explica-se em função de alguns fatores. Primeiro, o efeito mecânico da reabertura tende a se esgotar com o tempo e, no limite, chega a zero.  A redução do auxílio emergencial pela metade já a partir de setembro reduziu a massa de rendimentos da população, subtrai</w:t>
      </w:r>
      <w:r w:rsidR="002D0BC5">
        <w:t>u</w:t>
      </w:r>
      <w:r w:rsidR="00996961">
        <w:t xml:space="preserve"> da renda disponível e forç</w:t>
      </w:r>
      <w:r w:rsidR="002D0BC5">
        <w:t>ou</w:t>
      </w:r>
      <w:r w:rsidR="00996961">
        <w:t>, inevitavelmente, uma desaceleração no consumo das famílias</w:t>
      </w:r>
      <w:r w:rsidR="00F35F50">
        <w:t xml:space="preserve"> (mais sobre isto mais a frente)</w:t>
      </w:r>
      <w:r w:rsidR="00996961">
        <w:t xml:space="preserve">. Por último, </w:t>
      </w:r>
      <w:r w:rsidR="009934BC">
        <w:t>o recrudescimento</w:t>
      </w:r>
      <w:r w:rsidR="003628EC">
        <w:t xml:space="preserve"> agressivo</w:t>
      </w:r>
      <w:r w:rsidR="009934BC">
        <w:t xml:space="preserve"> da pandemia em solo nacional desde</w:t>
      </w:r>
      <w:r w:rsidR="003A7354">
        <w:t xml:space="preserve"> novembro</w:t>
      </w:r>
      <w:r w:rsidR="009934BC">
        <w:t xml:space="preserve"> ameaça abalar a confiança dos agentes</w:t>
      </w:r>
      <w:r w:rsidR="002D0BC5">
        <w:t xml:space="preserve"> (ver gráfico </w:t>
      </w:r>
      <w:r w:rsidR="00A0019E">
        <w:t>4</w:t>
      </w:r>
      <w:r w:rsidR="002D0BC5">
        <w:t>)</w:t>
      </w:r>
      <w:r w:rsidR="009934BC">
        <w:t xml:space="preserve">, acentuando o já precário estado do setor de serviços. Esta última questão é especialmente importante, tendo em vista que </w:t>
      </w:r>
      <w:r w:rsidR="003A7354">
        <w:t>o setor de serviços compõe</w:t>
      </w:r>
      <w:r w:rsidR="009934BC">
        <w:t xml:space="preserve"> aproximadamente 60% da renda nacional. </w:t>
      </w:r>
    </w:p>
    <w:p w14:paraId="29C478BF" w14:textId="71590130" w:rsidR="0018224C" w:rsidRDefault="0018224C" w:rsidP="00730A43">
      <w:pPr>
        <w:jc w:val="both"/>
      </w:pPr>
    </w:p>
    <w:p w14:paraId="7E8F8B6A" w14:textId="7A076AA2" w:rsidR="0018224C" w:rsidRDefault="0018224C" w:rsidP="0018224C">
      <w:pPr>
        <w:jc w:val="center"/>
      </w:pPr>
      <w:r>
        <w:rPr>
          <w:noProof/>
        </w:rPr>
        <w:drawing>
          <wp:inline distT="0" distB="0" distL="0" distR="0" wp14:anchorId="0992C0E4" wp14:editId="7CAF4EB5">
            <wp:extent cx="5400000" cy="2520000"/>
            <wp:effectExtent l="0" t="0" r="0" b="0"/>
            <wp:docPr id="3" name="Gráfico 3">
              <a:extLst xmlns:a="http://schemas.openxmlformats.org/drawingml/2006/main">
                <a:ext uri="{FF2B5EF4-FFF2-40B4-BE49-F238E27FC236}">
                  <a16:creationId xmlns:a16="http://schemas.microsoft.com/office/drawing/2014/main" id="{20F4BDDF-E8EC-4DFC-B21D-45336B1A2D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224F45" w14:textId="2447CEED" w:rsidR="003A7354" w:rsidRDefault="003A7354" w:rsidP="00730A43">
      <w:pPr>
        <w:jc w:val="both"/>
      </w:pPr>
    </w:p>
    <w:p w14:paraId="71DA3129" w14:textId="1497D13A" w:rsidR="003A7354" w:rsidRDefault="003A7354" w:rsidP="00730A43">
      <w:pPr>
        <w:jc w:val="both"/>
      </w:pPr>
      <w:r>
        <w:t xml:space="preserve">Olhando para o ano que segue, a economia brasileira enfrenta </w:t>
      </w:r>
      <w:r w:rsidR="002D0BC5">
        <w:t>alguns riscos à retomada</w:t>
      </w:r>
      <w:r w:rsidR="003628EC">
        <w:t xml:space="preserve"> ligados</w:t>
      </w:r>
      <w:r w:rsidR="00621A2D">
        <w:t xml:space="preserve"> </w:t>
      </w:r>
      <w:r w:rsidR="00945CC2">
        <w:t>ao</w:t>
      </w:r>
      <w:r w:rsidR="00621A2D">
        <w:t xml:space="preserve"> estado precário do mercado de trabalho; (</w:t>
      </w:r>
      <w:proofErr w:type="spellStart"/>
      <w:r w:rsidR="00621A2D">
        <w:t>ii</w:t>
      </w:r>
      <w:proofErr w:type="spellEnd"/>
      <w:r w:rsidR="00621A2D">
        <w:t xml:space="preserve">) </w:t>
      </w:r>
      <w:r w:rsidR="00A4181B">
        <w:t>à</w:t>
      </w:r>
      <w:r w:rsidR="00621A2D">
        <w:t xml:space="preserve"> própria dinâmica do vírus e (</w:t>
      </w:r>
      <w:proofErr w:type="spellStart"/>
      <w:r w:rsidR="00621A2D">
        <w:t>iii</w:t>
      </w:r>
      <w:proofErr w:type="spellEnd"/>
      <w:r w:rsidR="00621A2D">
        <w:t xml:space="preserve">) </w:t>
      </w:r>
      <w:r w:rsidR="00A4181B">
        <w:t>ao</w:t>
      </w:r>
      <w:r w:rsidR="00621A2D">
        <w:t xml:space="preserve"> comportamento da política fiscal</w:t>
      </w:r>
      <w:r w:rsidR="009F15B1">
        <w:t xml:space="preserve"> e monetária</w:t>
      </w:r>
      <w:r w:rsidR="00621A2D">
        <w:t xml:space="preserve">. </w:t>
      </w:r>
      <w:r w:rsidR="00F35F50">
        <w:t>No que segue, vale destacar que estes três riscos não operam de forma isolad</w:t>
      </w:r>
      <w:r w:rsidR="00D974E8">
        <w:t>a</w:t>
      </w:r>
      <w:r w:rsidR="00F35F50">
        <w:t xml:space="preserve">, mas </w:t>
      </w:r>
      <w:r w:rsidR="00C879D0">
        <w:t>interagem entre si</w:t>
      </w:r>
      <w:r w:rsidR="00F35F50">
        <w:t xml:space="preserve">. </w:t>
      </w:r>
    </w:p>
    <w:p w14:paraId="18F78619" w14:textId="6AE0310A" w:rsidR="00621A2D" w:rsidRDefault="00621A2D" w:rsidP="00730A43">
      <w:pPr>
        <w:jc w:val="both"/>
      </w:pPr>
    </w:p>
    <w:p w14:paraId="35C6432C" w14:textId="48A085BD" w:rsidR="00621A2D" w:rsidRDefault="00621A2D" w:rsidP="00730A43">
      <w:pPr>
        <w:jc w:val="both"/>
      </w:pPr>
      <w:r>
        <w:t>O preocupante estado do mercado de trabalho</w:t>
      </w:r>
      <w:r w:rsidR="00CC6E58">
        <w:t xml:space="preserve"> (gráfico </w:t>
      </w:r>
      <w:r w:rsidR="00A0019E">
        <w:t>5</w:t>
      </w:r>
      <w:r w:rsidR="00CC6E58">
        <w:t>)</w:t>
      </w:r>
      <w:r>
        <w:t>, que na última leitura registrou alta de 1,3 ponto percentual</w:t>
      </w:r>
      <w:r w:rsidR="00F35F50">
        <w:t xml:space="preserve"> para 14,6%</w:t>
      </w:r>
      <w:r>
        <w:t xml:space="preserve"> </w:t>
      </w:r>
      <w:r w:rsidR="00F35F50">
        <w:t>no trimestre encerrado em setembro em relação ao trimestre diretamente anterior, tem enorme potencial de retardar o processo de recuperação. Um elevado nível de desemprego significa menos dispêndio e, portanto, demanda e renda. A situação torna-se ainda mais delicada quando observamos o comportamento da taxa de participação, que segue rondando em torno de 55%</w:t>
      </w:r>
      <w:r w:rsidR="00D974E8">
        <w:t xml:space="preserve"> da força de trabalho</w:t>
      </w:r>
      <w:r w:rsidR="00F35F50">
        <w:t xml:space="preserve">, notadamente abaixo dos níveis verificados no período </w:t>
      </w:r>
      <w:proofErr w:type="spellStart"/>
      <w:r w:rsidR="00F35F50">
        <w:t>pré</w:t>
      </w:r>
      <w:proofErr w:type="spellEnd"/>
      <w:r w:rsidR="00F35F50">
        <w:t xml:space="preserve">-pandemia. Este menor nível de indivíduos trabalhando ou ativamente procurando empregos </w:t>
      </w:r>
      <w:r w:rsidR="00D974E8">
        <w:t xml:space="preserve">é indicativo de uma menor disponibilidade do fator trabalho para a produção. Naturalmente, isto tende a arrefecer o processo de recuperação da economia como um todo. </w:t>
      </w:r>
    </w:p>
    <w:p w14:paraId="751FBCC7" w14:textId="571D9164" w:rsidR="00D974E8" w:rsidRDefault="00D974E8" w:rsidP="00730A43">
      <w:pPr>
        <w:jc w:val="both"/>
      </w:pPr>
    </w:p>
    <w:p w14:paraId="245F9886" w14:textId="3805F923" w:rsidR="0018224C" w:rsidRDefault="00A0019E" w:rsidP="00A0019E">
      <w:pPr>
        <w:jc w:val="center"/>
      </w:pPr>
      <w:r>
        <w:rPr>
          <w:noProof/>
        </w:rPr>
        <w:drawing>
          <wp:inline distT="0" distB="0" distL="0" distR="0" wp14:anchorId="58338C94" wp14:editId="2510847A">
            <wp:extent cx="5400000" cy="2520000"/>
            <wp:effectExtent l="0" t="0" r="0" b="0"/>
            <wp:docPr id="5" name="Gráfico 5">
              <a:extLst xmlns:a="http://schemas.openxmlformats.org/drawingml/2006/main">
                <a:ext uri="{FF2B5EF4-FFF2-40B4-BE49-F238E27FC236}">
                  <a16:creationId xmlns:a16="http://schemas.microsoft.com/office/drawing/2014/main" id="{555BBD22-9D07-4133-97FF-F2CAE3E0DF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1222B79" w14:textId="77777777" w:rsidR="0018224C" w:rsidRDefault="0018224C" w:rsidP="00730A43">
      <w:pPr>
        <w:jc w:val="both"/>
      </w:pPr>
    </w:p>
    <w:p w14:paraId="47CA8689" w14:textId="17215DB2" w:rsidR="00D974E8" w:rsidRDefault="00D974E8" w:rsidP="00730A43">
      <w:pPr>
        <w:jc w:val="both"/>
      </w:pPr>
      <w:r>
        <w:t xml:space="preserve">A dinâmica da covid-19, que até um mês atrás apresentava uma dinâmica de desaceleração, </w:t>
      </w:r>
      <w:r w:rsidR="002C66DD">
        <w:t>pressionará</w:t>
      </w:r>
      <w:r w:rsidR="0018224C">
        <w:t xml:space="preserve"> – devido</w:t>
      </w:r>
      <w:r w:rsidR="002C66DD">
        <w:t xml:space="preserve"> à </w:t>
      </w:r>
      <w:r w:rsidR="00B76E6A">
        <w:t>demora em realizar uma campanha de vacinação em massa</w:t>
      </w:r>
      <w:r w:rsidR="0018224C">
        <w:t xml:space="preserve"> </w:t>
      </w:r>
      <w:r w:rsidR="00A0019E">
        <w:t>– a</w:t>
      </w:r>
      <w:r>
        <w:t xml:space="preserve"> economia em duas frentes. Primeiro, como já citado, tende a retardar ainda </w:t>
      </w:r>
      <w:r w:rsidR="00CC6E58">
        <w:t xml:space="preserve">mais </w:t>
      </w:r>
      <w:r>
        <w:t>o processo de recuperação do setor de serviços. Em segundo lugar, tem potencial de amplificar as sequelas no mercado de trabalho. Especificamente, tende a retrair força da retomada na taxa de participaç</w:t>
      </w:r>
      <w:r w:rsidR="00CC6E58">
        <w:t>ão</w:t>
      </w:r>
      <w:r>
        <w:t>.</w:t>
      </w:r>
      <w:r w:rsidR="00CC6E58">
        <w:t xml:space="preserve"> Dados da PNAD-</w:t>
      </w:r>
      <w:proofErr w:type="spellStart"/>
      <w:r w:rsidR="00CC6E58">
        <w:t>Covid</w:t>
      </w:r>
      <w:proofErr w:type="spellEnd"/>
      <w:r w:rsidR="009F15B1">
        <w:t xml:space="preserve"> (gráfico </w:t>
      </w:r>
      <w:r w:rsidR="00A0019E">
        <w:t>6</w:t>
      </w:r>
      <w:r w:rsidR="009F15B1">
        <w:t>)</w:t>
      </w:r>
      <w:r w:rsidR="00CC6E58">
        <w:t xml:space="preserve"> deixam claro que o arrefecimento na curva de contágio </w:t>
      </w:r>
      <w:r w:rsidR="00A26E8A">
        <w:t>muito provavelmente é</w:t>
      </w:r>
      <w:r w:rsidR="00CC6E58">
        <w:t xml:space="preserve"> um fator relevante para explicar a contínua queda no número de indivíduos que não procuraram emprego por conta da pandemia ou por falta de trabalho na localidade, mas que gostariam de trabalhar. Caso a segunda onda do vírus seja tão ou mais agressiva que a primeira, esta melhora entra em risco. No limite, uma volta </w:t>
      </w:r>
      <w:r w:rsidR="009F15B1">
        <w:t>a</w:t>
      </w:r>
      <w:r w:rsidR="00CC6E58">
        <w:t xml:space="preserve"> medidas mais restritivas tem o potencial de novamente aumentar o número de pessoas que deixaram de procurar empregos por causa da pandemia.</w:t>
      </w:r>
    </w:p>
    <w:p w14:paraId="2A5BE251" w14:textId="617BA714" w:rsidR="00A0019E" w:rsidRDefault="00A0019E" w:rsidP="00730A43">
      <w:pPr>
        <w:jc w:val="both"/>
      </w:pPr>
    </w:p>
    <w:p w14:paraId="5FC5A4EC" w14:textId="5678B62A" w:rsidR="00A0019E" w:rsidRDefault="00A0019E" w:rsidP="00A0019E">
      <w:pPr>
        <w:jc w:val="center"/>
      </w:pPr>
      <w:r>
        <w:rPr>
          <w:noProof/>
        </w:rPr>
        <w:drawing>
          <wp:inline distT="0" distB="0" distL="0" distR="0" wp14:anchorId="6FF14378" wp14:editId="55F2D225">
            <wp:extent cx="5400000" cy="2520000"/>
            <wp:effectExtent l="0" t="0" r="0" b="0"/>
            <wp:docPr id="6" name="Gráfico 6">
              <a:extLst xmlns:a="http://schemas.openxmlformats.org/drawingml/2006/main">
                <a:ext uri="{FF2B5EF4-FFF2-40B4-BE49-F238E27FC236}">
                  <a16:creationId xmlns:a16="http://schemas.microsoft.com/office/drawing/2014/main" id="{458B211F-1186-4FC4-894C-E8F1680D0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E39907" w14:textId="42729D8D" w:rsidR="009F15B1" w:rsidRDefault="009F15B1" w:rsidP="00730A43">
      <w:pPr>
        <w:jc w:val="both"/>
      </w:pPr>
    </w:p>
    <w:p w14:paraId="3985B40D" w14:textId="711CEC5D" w:rsidR="001972F8" w:rsidRDefault="00A4181B" w:rsidP="00730A43">
      <w:pPr>
        <w:jc w:val="both"/>
      </w:pPr>
      <w:r>
        <w:t xml:space="preserve"> Em relação à política econômica, s</w:t>
      </w:r>
      <w:r w:rsidR="009F15B1">
        <w:t xml:space="preserve">abe-se que a atuação da política fiscal foi de suma importância para garantir um suporte à renda e ao emprego nos momentos mais agudos da crise. </w:t>
      </w:r>
      <w:r w:rsidR="00A26E8A">
        <w:t xml:space="preserve">O auxílio emergencial, assim como outros programas como o auxílio financeiro a estados e municípios, além da concessão de financiamento para o pagamento da folha salarial, </w:t>
      </w:r>
      <w:r w:rsidR="000B7379">
        <w:t>amorteceu a queda de demanda</w:t>
      </w:r>
      <w:r w:rsidR="009F15B1">
        <w:t xml:space="preserve"> </w:t>
      </w:r>
      <w:r w:rsidR="000B7379">
        <w:t xml:space="preserve">causada </w:t>
      </w:r>
      <w:r w:rsidR="001972F8">
        <w:t>pelas medidas</w:t>
      </w:r>
      <w:r w:rsidR="00DE02A7">
        <w:t xml:space="preserve"> de isolamento social</w:t>
      </w:r>
      <w:r w:rsidR="009F15B1">
        <w:t>.</w:t>
      </w:r>
      <w:r w:rsidR="000B7379">
        <w:t xml:space="preserve"> </w:t>
      </w:r>
    </w:p>
    <w:p w14:paraId="4C6F8415" w14:textId="77777777" w:rsidR="001972F8" w:rsidRDefault="001972F8" w:rsidP="00730A43">
      <w:pPr>
        <w:jc w:val="both"/>
      </w:pPr>
    </w:p>
    <w:p w14:paraId="55CC8B64" w14:textId="20749119" w:rsidR="00D5589D" w:rsidRDefault="000B7379" w:rsidP="00730A43">
      <w:pPr>
        <w:jc w:val="both"/>
      </w:pPr>
      <w:r>
        <w:t>No entanto,</w:t>
      </w:r>
      <w:r w:rsidR="009F15B1">
        <w:t xml:space="preserve"> </w:t>
      </w:r>
      <w:r>
        <w:t>c</w:t>
      </w:r>
      <w:r w:rsidR="009F15B1">
        <w:t xml:space="preserve">om a chegada do final do ano e consequente esgotamento da validade do Orçamento de Guerra, a rápida e súbita retirada de alguns estímulos, como o auxílio emergencial, </w:t>
      </w:r>
      <w:r w:rsidR="001972F8">
        <w:t>debela a retomada</w:t>
      </w:r>
      <w:r w:rsidR="009F15B1">
        <w:t>.</w:t>
      </w:r>
      <w:r w:rsidR="00A26E8A">
        <w:t xml:space="preserve"> Tende, junto com a volta do ajuste fiscal</w:t>
      </w:r>
      <w:r>
        <w:t xml:space="preserve"> </w:t>
      </w:r>
      <w:r w:rsidR="00A26E8A">
        <w:t xml:space="preserve">– refletido pelos esforços de respeitar o teto de gastos e aprovar as demais reformas como a PEC Emergencial e Reforma Administrativa – a ser contracionista a curto prazo. </w:t>
      </w:r>
      <w:r w:rsidR="001972F8">
        <w:t>Em termos regionais, as regiões do norte e nordeste do país, onde se concentrou a implementação do auxílio emergencial, tenderiam a sentir com mais força a queda no consumo do governo</w:t>
      </w:r>
      <w:r w:rsidR="00945CC2">
        <w:t xml:space="preserve"> ao longo dos próximos meses. Nota-se, no gráfico que traça a atividade nas diferentes regiões do país, a forte </w:t>
      </w:r>
      <w:r w:rsidR="00045002">
        <w:t xml:space="preserve">recuperação do norte e, em menor grau, do Nordeste. </w:t>
      </w:r>
    </w:p>
    <w:p w14:paraId="5C858150" w14:textId="08BED46D" w:rsidR="00045002" w:rsidRDefault="00045002" w:rsidP="00730A43">
      <w:pPr>
        <w:jc w:val="both"/>
      </w:pPr>
    </w:p>
    <w:p w14:paraId="1BE7FE77" w14:textId="0FDAFACD" w:rsidR="00045002" w:rsidRDefault="00045002" w:rsidP="00045002">
      <w:pPr>
        <w:jc w:val="center"/>
      </w:pPr>
      <w:r>
        <w:rPr>
          <w:noProof/>
        </w:rPr>
        <w:lastRenderedPageBreak/>
        <w:drawing>
          <wp:inline distT="0" distB="0" distL="0" distR="0" wp14:anchorId="5ED43E3F" wp14:editId="0F64E46F">
            <wp:extent cx="5400000" cy="2520000"/>
            <wp:effectExtent l="0" t="0" r="0" b="0"/>
            <wp:docPr id="10" name="Gráfico 10">
              <a:extLst xmlns:a="http://schemas.openxmlformats.org/drawingml/2006/main">
                <a:ext uri="{FF2B5EF4-FFF2-40B4-BE49-F238E27FC236}">
                  <a16:creationId xmlns:a16="http://schemas.microsoft.com/office/drawing/2014/main" id="{C18836F6-1737-414B-99F5-8B0934DDAB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879DA0" w14:textId="77777777" w:rsidR="00D5589D" w:rsidRDefault="00D5589D" w:rsidP="00730A43">
      <w:pPr>
        <w:jc w:val="both"/>
      </w:pPr>
    </w:p>
    <w:p w14:paraId="6E1614D9" w14:textId="2907D255" w:rsidR="00DE02A7" w:rsidRDefault="00D5589D" w:rsidP="00730A43">
      <w:pPr>
        <w:jc w:val="both"/>
      </w:pPr>
      <w:r>
        <w:t>De qualquer forma, é nítido que a aprovação de algumas destas reformas</w:t>
      </w:r>
      <w:r w:rsidR="00B76E6A">
        <w:t>, além de aumentar o crescimento potencial da economia,</w:t>
      </w:r>
      <w:r>
        <w:t xml:space="preserve"> tem forte potencial de alavancar a confiança, manter a aversão ao risco em baixa e garantir o bom funcionamento da política monetária (mais sobre isso afrente).</w:t>
      </w:r>
      <w:r w:rsidR="001972F8">
        <w:t xml:space="preserve"> Esta combinação de fatores auxiliar fortemente a retomada.</w:t>
      </w:r>
      <w:r>
        <w:t xml:space="preserve"> Infelizmente, tanto o Congresso </w:t>
      </w:r>
      <w:r w:rsidR="00C879D0">
        <w:t>quanto</w:t>
      </w:r>
      <w:r>
        <w:t xml:space="preserve"> o Governo </w:t>
      </w:r>
      <w:r w:rsidR="00C879D0">
        <w:t>têm</w:t>
      </w:r>
      <w:r>
        <w:t xml:space="preserve"> demonstrado um </w:t>
      </w:r>
      <w:r w:rsidR="00C879D0">
        <w:t>esforço bastante</w:t>
      </w:r>
      <w:r>
        <w:t xml:space="preserve"> </w:t>
      </w:r>
      <w:r w:rsidR="00C879D0">
        <w:t>aquém</w:t>
      </w:r>
      <w:r>
        <w:t xml:space="preserve"> do esperado no que se refere à agenda</w:t>
      </w:r>
      <w:r w:rsidR="00C879D0">
        <w:t xml:space="preserve"> de ajuste</w:t>
      </w:r>
      <w:r>
        <w:t xml:space="preserve"> fiscal. Os déficits primários históricos</w:t>
      </w:r>
      <w:r w:rsidR="00C879D0">
        <w:t xml:space="preserve"> – </w:t>
      </w:r>
      <w:r>
        <w:t xml:space="preserve">assim como a </w:t>
      </w:r>
      <w:r w:rsidR="002C66DD">
        <w:t>trajetória</w:t>
      </w:r>
      <w:r>
        <w:t xml:space="preserve"> explosiva da relação dívida/</w:t>
      </w:r>
      <w:proofErr w:type="spellStart"/>
      <w:r>
        <w:t>pib</w:t>
      </w:r>
      <w:proofErr w:type="spellEnd"/>
      <w:r>
        <w:t xml:space="preserve"> (gráfico </w:t>
      </w:r>
      <w:r w:rsidR="002777DD">
        <w:t>7</w:t>
      </w:r>
      <w:r>
        <w:t>)</w:t>
      </w:r>
      <w:r w:rsidR="00C879D0">
        <w:t xml:space="preserve"> – formados pelas medidas emergenciais aceleraram a necessidade</w:t>
      </w:r>
      <w:r w:rsidR="00DD4CF4">
        <w:t xml:space="preserve"> (já existente antes da pandemia)</w:t>
      </w:r>
      <w:r w:rsidR="00C879D0">
        <w:t xml:space="preserve"> de tornar a dinâmica do endividamento público sustentável. </w:t>
      </w:r>
    </w:p>
    <w:p w14:paraId="2C1CC525" w14:textId="66C3F41B" w:rsidR="002777DD" w:rsidRDefault="002777DD" w:rsidP="00730A43">
      <w:pPr>
        <w:jc w:val="both"/>
      </w:pPr>
    </w:p>
    <w:p w14:paraId="06789D95" w14:textId="04D064DD" w:rsidR="002777DD" w:rsidRDefault="002777DD" w:rsidP="002777DD">
      <w:pPr>
        <w:jc w:val="center"/>
      </w:pPr>
      <w:r>
        <w:rPr>
          <w:noProof/>
        </w:rPr>
        <w:drawing>
          <wp:inline distT="0" distB="0" distL="0" distR="0" wp14:anchorId="49BA1EDE" wp14:editId="25615B29">
            <wp:extent cx="5400000" cy="2520000"/>
            <wp:effectExtent l="0" t="0" r="0" b="0"/>
            <wp:docPr id="7" name="Gráfico 7">
              <a:extLst xmlns:a="http://schemas.openxmlformats.org/drawingml/2006/main">
                <a:ext uri="{FF2B5EF4-FFF2-40B4-BE49-F238E27FC236}">
                  <a16:creationId xmlns:a16="http://schemas.microsoft.com/office/drawing/2014/main" id="{42A00D94-E94B-48D9-B145-0679722BD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A5CDA2" w14:textId="77777777" w:rsidR="00DE02A7" w:rsidRDefault="00DE02A7" w:rsidP="00730A43">
      <w:pPr>
        <w:jc w:val="both"/>
      </w:pPr>
    </w:p>
    <w:p w14:paraId="72983272" w14:textId="030B419E" w:rsidR="002C66DD" w:rsidRDefault="00C879D0" w:rsidP="00730A43">
      <w:pPr>
        <w:jc w:val="both"/>
      </w:pPr>
      <w:r>
        <w:t xml:space="preserve">Ocorre que </w:t>
      </w:r>
      <w:r w:rsidR="002C66DD">
        <w:t>o Executivo e o Congresso têm</w:t>
      </w:r>
      <w:r w:rsidR="00DD4CF4">
        <w:t xml:space="preserve"> apresentado</w:t>
      </w:r>
      <w:r>
        <w:t xml:space="preserve"> um elevado grau de inércia </w:t>
      </w:r>
      <w:r w:rsidR="00DD4CF4">
        <w:t>no que diz respeito aos ajustes que produzem a sustentabilidade das finanças públicas. Pelo contrário, a contínua ausência de sinalizações</w:t>
      </w:r>
      <w:r w:rsidR="00B76E6A">
        <w:t xml:space="preserve"> positivas</w:t>
      </w:r>
      <w:r w:rsidR="00DD4CF4">
        <w:t xml:space="preserve"> por parte da classe política tem mantido o nível de incerteza elevado, o câmbio</w:t>
      </w:r>
      <w:r w:rsidR="00B76E6A">
        <w:t xml:space="preserve"> volátil e</w:t>
      </w:r>
      <w:r w:rsidR="00DD4CF4">
        <w:t xml:space="preserve"> depreciado além de seu nível de equilíbrio (</w:t>
      </w:r>
      <w:proofErr w:type="spellStart"/>
      <w:r w:rsidR="00DD4CF4">
        <w:t>overshooting</w:t>
      </w:r>
      <w:proofErr w:type="spellEnd"/>
      <w:r w:rsidR="00DD4CF4">
        <w:t xml:space="preserve">) e a curva de juros com inclinação ascendente (gráfico </w:t>
      </w:r>
      <w:r w:rsidR="008C1609">
        <w:t>8</w:t>
      </w:r>
      <w:r w:rsidR="00DD4CF4">
        <w:t xml:space="preserve">). </w:t>
      </w:r>
    </w:p>
    <w:p w14:paraId="0690386A" w14:textId="65D0F2B4" w:rsidR="008C1609" w:rsidRDefault="008C1609" w:rsidP="00730A43">
      <w:pPr>
        <w:jc w:val="both"/>
      </w:pPr>
    </w:p>
    <w:p w14:paraId="1BFBC613" w14:textId="6760B6CC" w:rsidR="008C1609" w:rsidRDefault="008C1609" w:rsidP="008C1609">
      <w:pPr>
        <w:jc w:val="center"/>
      </w:pPr>
      <w:r>
        <w:rPr>
          <w:noProof/>
        </w:rPr>
        <w:drawing>
          <wp:inline distT="0" distB="0" distL="0" distR="0" wp14:anchorId="0451AE38" wp14:editId="558C3C71">
            <wp:extent cx="5400000" cy="2520000"/>
            <wp:effectExtent l="0" t="0" r="0" b="0"/>
            <wp:docPr id="8" name="Gráfico 8">
              <a:extLst xmlns:a="http://schemas.openxmlformats.org/drawingml/2006/main">
                <a:ext uri="{FF2B5EF4-FFF2-40B4-BE49-F238E27FC236}">
                  <a16:creationId xmlns:a16="http://schemas.microsoft.com/office/drawing/2014/main" id="{37A577F5-54DD-49B1-8C6E-4F929E0A70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D212A2F" w14:textId="77777777" w:rsidR="002C66DD" w:rsidRDefault="002C66DD" w:rsidP="00730A43">
      <w:pPr>
        <w:jc w:val="both"/>
      </w:pPr>
    </w:p>
    <w:p w14:paraId="7E7BA5E0" w14:textId="77777777" w:rsidR="00DE02A7" w:rsidRDefault="00DD4CF4" w:rsidP="00730A43">
      <w:pPr>
        <w:jc w:val="both"/>
      </w:pPr>
      <w:r>
        <w:t xml:space="preserve">Este comportamento por parte dos formuladores de política fiscal, se persistente, </w:t>
      </w:r>
      <w:r w:rsidR="002C66DD">
        <w:t>terá</w:t>
      </w:r>
      <w:r>
        <w:t xml:space="preserve"> efeitos nefastos sobre a </w:t>
      </w:r>
      <w:r w:rsidR="00B76E6A">
        <w:t>retomada</w:t>
      </w:r>
      <w:r>
        <w:t xml:space="preserve">. </w:t>
      </w:r>
      <w:r w:rsidR="000B7379">
        <w:t>A manutenção de juros de</w:t>
      </w:r>
      <w:r w:rsidR="00B76E6A">
        <w:t xml:space="preserve"> longo</w:t>
      </w:r>
      <w:r w:rsidR="000B7379">
        <w:t xml:space="preserve"> </w:t>
      </w:r>
      <w:r w:rsidR="002C66DD">
        <w:t>prazo – os mais importantes para as decisões econômicas – elevado</w:t>
      </w:r>
      <w:r w:rsidR="00B76E6A">
        <w:t>s</w:t>
      </w:r>
      <w:r w:rsidR="002C66DD">
        <w:t xml:space="preserve"> desestimula o investimento em máquinas, equipamentos e bens de capital em geral. Esta menor demanda por bens relacionados ao investimento</w:t>
      </w:r>
      <w:r w:rsidR="00B76E6A">
        <w:t xml:space="preserve"> </w:t>
      </w:r>
      <w:r w:rsidR="002C66DD">
        <w:t>tenderia a agravar os problemas no mercado de trabalho, pois quanto menor for a demanda por máquinas e equipamentos, menor é a demanda</w:t>
      </w:r>
      <w:r w:rsidR="008C77F8">
        <w:t xml:space="preserve"> por trabalho</w:t>
      </w:r>
      <w:r w:rsidR="002C66DD">
        <w:t xml:space="preserve">. </w:t>
      </w:r>
    </w:p>
    <w:p w14:paraId="1961E388" w14:textId="77777777" w:rsidR="00DE02A7" w:rsidRDefault="00DE02A7" w:rsidP="00730A43">
      <w:pPr>
        <w:jc w:val="both"/>
      </w:pPr>
    </w:p>
    <w:p w14:paraId="4212F560" w14:textId="5CBFC095" w:rsidR="009F15B1" w:rsidRDefault="000B7379" w:rsidP="00730A43">
      <w:pPr>
        <w:jc w:val="both"/>
      </w:pPr>
      <w:r>
        <w:t xml:space="preserve">Ainda, </w:t>
      </w:r>
      <w:r w:rsidR="00B76E6A">
        <w:t>a persistência de um</w:t>
      </w:r>
      <w:r>
        <w:t xml:space="preserve"> câmbio </w:t>
      </w:r>
      <w:proofErr w:type="spellStart"/>
      <w:r>
        <w:t>ultradesvalorizad</w:t>
      </w:r>
      <w:r w:rsidR="00CA3B13">
        <w:t>o</w:t>
      </w:r>
      <w:proofErr w:type="spellEnd"/>
      <w:r>
        <w:t xml:space="preserve"> intensificaria o enorme descompasso entre oferta e demanda por insumos verificado no setor industrial, </w:t>
      </w:r>
      <w:r w:rsidR="00B76E6A">
        <w:t>acentuando</w:t>
      </w:r>
      <w:r>
        <w:t xml:space="preserve">, </w:t>
      </w:r>
      <w:r w:rsidR="00CA3B13">
        <w:t>assim</w:t>
      </w:r>
      <w:r>
        <w:t>, o</w:t>
      </w:r>
      <w:r w:rsidR="00B76E6A">
        <w:t xml:space="preserve"> desarranjo em um importante setor do</w:t>
      </w:r>
      <w:r>
        <w:t xml:space="preserve"> lado da oferta da economia. </w:t>
      </w:r>
      <w:r w:rsidR="00DE02A7">
        <w:t xml:space="preserve">Agravaria, também, os problemas decorrentes do mercado de trabalho, uma vez que a permanência do risco fiscal tende a depreciar o câmbio, encarece as importações e causa uma aceleração da inflação local. Naturalmente, </w:t>
      </w:r>
      <w:r w:rsidR="00CA3B13">
        <w:t xml:space="preserve">este movimento tende a reduzir o salário real da população, retirando poder de compra e desacelerando o avanço da renda. </w:t>
      </w:r>
    </w:p>
    <w:p w14:paraId="434C0BA4" w14:textId="5B8BFFCD" w:rsidR="001972F8" w:rsidRDefault="001972F8" w:rsidP="00730A43">
      <w:pPr>
        <w:jc w:val="both"/>
      </w:pPr>
    </w:p>
    <w:p w14:paraId="24E1401A" w14:textId="2F0DCD15" w:rsidR="001972F8" w:rsidRDefault="001972F8" w:rsidP="00730A43">
      <w:pPr>
        <w:jc w:val="both"/>
      </w:pPr>
      <w:r>
        <w:t xml:space="preserve">Em suma, fica claro que a interação da dinâmica do </w:t>
      </w:r>
      <w:r w:rsidR="0042333A">
        <w:t>vírus, do</w:t>
      </w:r>
      <w:r>
        <w:t xml:space="preserve"> mercado de trabalho deteriorado e do elevado risco fiscal cria sérios desafios para uma retomada efetiva e sustentável. </w:t>
      </w:r>
    </w:p>
    <w:p w14:paraId="4AFFF29E" w14:textId="580B77FB" w:rsidR="00B76E6A" w:rsidRDefault="00B76E6A" w:rsidP="00730A43">
      <w:pPr>
        <w:jc w:val="both"/>
      </w:pPr>
    </w:p>
    <w:p w14:paraId="4248E26E" w14:textId="20832523" w:rsidR="00E06AF7" w:rsidRDefault="003573D1" w:rsidP="00730A43">
      <w:pPr>
        <w:jc w:val="both"/>
      </w:pPr>
      <w:r>
        <w:t xml:space="preserve">Em relação à política monetária, o comportamento altamente </w:t>
      </w:r>
      <w:proofErr w:type="spellStart"/>
      <w:r>
        <w:t>estimulativo</w:t>
      </w:r>
      <w:proofErr w:type="spellEnd"/>
      <w:r>
        <w:t xml:space="preserve"> do Banco Central foi absolutamente essencial para a retomada da economia. Além dos cortes na taxa Selic, diversas medidas (liberação de compulsório, flexibilização do LCA, empréstimos com lastro em LF garantidas, capital de giro para preservação de empresas etc.) foram tomadas para garantir o fluxo de crédito em direção às famílias e empresas. Estas medidas, que tinham </w:t>
      </w:r>
      <w:r w:rsidR="00EF7C7B">
        <w:t>o</w:t>
      </w:r>
      <w:r>
        <w:t xml:space="preserve"> objetivo geral </w:t>
      </w:r>
      <w:r w:rsidR="00A4181B">
        <w:t xml:space="preserve">de </w:t>
      </w:r>
      <w:r>
        <w:t>garantir a liquidez da economia, foram de suprema importância para atender o aumento na demanda por liquidez que tinha potencial de</w:t>
      </w:r>
      <w:r w:rsidR="00F65A6E">
        <w:t xml:space="preserve"> levar</w:t>
      </w:r>
      <w:r>
        <w:t xml:space="preserve"> as taxas</w:t>
      </w:r>
      <w:r w:rsidR="00F65A6E">
        <w:t xml:space="preserve"> e a inadimplência</w:t>
      </w:r>
      <w:r>
        <w:t xml:space="preserve"> da economia ao descontrole. </w:t>
      </w:r>
      <w:r w:rsidR="00F65A6E">
        <w:t xml:space="preserve">Em outras palavras, a autoridade manteve o Sistema Financeiro Nacional em </w:t>
      </w:r>
      <w:r w:rsidR="00F65A6E">
        <w:lastRenderedPageBreak/>
        <w:t>estado sólido, evitando que a crise da covid-19, que se iniciou na economia real, se transformasse em uma crise financeira.</w:t>
      </w:r>
      <w:r w:rsidR="00E06AF7">
        <w:t xml:space="preserve"> </w:t>
      </w:r>
    </w:p>
    <w:p w14:paraId="48C3EECA" w14:textId="77777777" w:rsidR="00E06AF7" w:rsidRDefault="00E06AF7" w:rsidP="00730A43">
      <w:pPr>
        <w:jc w:val="both"/>
      </w:pPr>
    </w:p>
    <w:p w14:paraId="22DACB0E" w14:textId="27F8F0AF" w:rsidR="00E06AF7" w:rsidRDefault="00E06AF7" w:rsidP="00730A43">
      <w:pPr>
        <w:jc w:val="both"/>
      </w:pPr>
      <w:r>
        <w:t xml:space="preserve">De inédito, o BCB adotou o </w:t>
      </w:r>
      <w:proofErr w:type="spellStart"/>
      <w:r>
        <w:t>Forward</w:t>
      </w:r>
      <w:proofErr w:type="spellEnd"/>
      <w:r>
        <w:t xml:space="preserve"> </w:t>
      </w:r>
      <w:proofErr w:type="spellStart"/>
      <w:r>
        <w:t>Guidance</w:t>
      </w:r>
      <w:proofErr w:type="spellEnd"/>
      <w:r>
        <w:t xml:space="preserve"> (promessa de juros baixos por tempo prolongado) como instrumento de política monetária adicional para prover o grau de estímulo necessário. O </w:t>
      </w:r>
      <w:proofErr w:type="spellStart"/>
      <w:r>
        <w:t>Forward</w:t>
      </w:r>
      <w:proofErr w:type="spellEnd"/>
      <w:r>
        <w:t xml:space="preserve"> </w:t>
      </w:r>
      <w:proofErr w:type="spellStart"/>
      <w:r>
        <w:t>Guidance</w:t>
      </w:r>
      <w:proofErr w:type="spellEnd"/>
      <w:r>
        <w:t xml:space="preserve"> – cuja utilização por parte do BCB foi condicionada à manutenção do teto de gastos e à proximidade das expectativas e projeções de inflação da meta – tem como objetivo reduzir os juros de longo prazo para auxiliar a retomada econômica. Ocorre que o risco fiscal decorrente da ausência de sinalizações e, no pior </w:t>
      </w:r>
      <w:r w:rsidR="00362E73">
        <w:t>dos casos</w:t>
      </w:r>
      <w:r>
        <w:t xml:space="preserve">, em virtude da presença de péssimas sinalizações (basta pensar na ideia de financiar o Renda Brasil com recursos destinados ao pagamento de precatórios </w:t>
      </w:r>
      <w:r w:rsidR="00362E73">
        <w:t>e do Fundeb)</w:t>
      </w:r>
      <w:r>
        <w:t xml:space="preserve">, tem comprometido o bom funcionamento desta ferramenta. </w:t>
      </w:r>
      <w:r w:rsidR="00362E73">
        <w:t xml:space="preserve">Se por um lado o BCB trata de desinclinar a curva de juros, por outro, a política fiscal a pressiona para cima. </w:t>
      </w:r>
    </w:p>
    <w:p w14:paraId="4AD04DC6" w14:textId="3444800B" w:rsidR="00362E73" w:rsidRDefault="00362E73" w:rsidP="00730A43">
      <w:pPr>
        <w:jc w:val="both"/>
      </w:pPr>
    </w:p>
    <w:p w14:paraId="270A1D6B" w14:textId="6AF9D6FA" w:rsidR="001E3935" w:rsidRDefault="00362E73" w:rsidP="00730A43">
      <w:pPr>
        <w:jc w:val="both"/>
      </w:pPr>
      <w:r>
        <w:t xml:space="preserve">É principalmente por causa desta questão que se espera que o BCB volte, </w:t>
      </w:r>
      <w:r w:rsidR="001E3935">
        <w:t>na última reunião do ano, mas também ao longo do ano que vem</w:t>
      </w:r>
      <w:r>
        <w:t xml:space="preserve">, a soar a alerta em torno do risco fiscal. A razão é clara: o risco fiscal compromete o estado </w:t>
      </w:r>
      <w:proofErr w:type="spellStart"/>
      <w:r>
        <w:t>estimulativo</w:t>
      </w:r>
      <w:proofErr w:type="spellEnd"/>
      <w:r>
        <w:t xml:space="preserve"> da política monetária. Se levado ao paroxismo, isto é, </w:t>
      </w:r>
      <w:r w:rsidR="001E3935">
        <w:t>se a classe política desrespeitar a lei do teto</w:t>
      </w:r>
      <w:r w:rsidR="00D4744F">
        <w:t xml:space="preserve"> e não seguir em frente com as reformas</w:t>
      </w:r>
      <w:r w:rsidR="001E3935">
        <w:t xml:space="preserve">, o Banco Central será forçado a abandonar o uso do </w:t>
      </w:r>
      <w:proofErr w:type="spellStart"/>
      <w:r w:rsidR="001E3935">
        <w:t>Forward</w:t>
      </w:r>
      <w:proofErr w:type="spellEnd"/>
      <w:r w:rsidR="001E3935">
        <w:t xml:space="preserve"> </w:t>
      </w:r>
      <w:proofErr w:type="spellStart"/>
      <w:r w:rsidR="001E3935">
        <w:t>Guidance</w:t>
      </w:r>
      <w:proofErr w:type="spellEnd"/>
      <w:r w:rsidR="00E51E23">
        <w:t xml:space="preserve"> e aumentar a taxa de juro</w:t>
      </w:r>
      <w:r w:rsidR="005377A2">
        <w:t>, reduzindo o grau de estímulo à economia e debelando o processo de recuperação</w:t>
      </w:r>
      <w:r w:rsidR="001E3935">
        <w:t xml:space="preserve">. </w:t>
      </w:r>
    </w:p>
    <w:p w14:paraId="7AA0EF6E" w14:textId="77777777" w:rsidR="001E3935" w:rsidRDefault="001E3935" w:rsidP="00730A43">
      <w:pPr>
        <w:jc w:val="both"/>
      </w:pPr>
    </w:p>
    <w:p w14:paraId="041C8B4A" w14:textId="6A0D0316" w:rsidR="00B518B1" w:rsidRDefault="00AB0E1A" w:rsidP="00730A43">
      <w:pPr>
        <w:jc w:val="both"/>
      </w:pPr>
      <w:r>
        <w:t>Entretanto</w:t>
      </w:r>
      <w:r w:rsidR="001E3935">
        <w:t>, como citado, a utilização da ferramenta também depende do comportamento da inflação e das expectativas de inflação.</w:t>
      </w:r>
      <w:r w:rsidR="005377A2">
        <w:t xml:space="preserve"> Recentemente, a inflação medida pelo IPCA tem apresentado uma </w:t>
      </w:r>
      <w:r>
        <w:t>aceleração em</w:t>
      </w:r>
      <w:r w:rsidR="005377A2">
        <w:t xml:space="preserve"> virtude de alguns fatores</w:t>
      </w:r>
      <w:r>
        <w:t xml:space="preserve"> (gráfico </w:t>
      </w:r>
      <w:r w:rsidR="004E19C8">
        <w:t>9</w:t>
      </w:r>
      <w:r>
        <w:t xml:space="preserve"> – IPCA)</w:t>
      </w:r>
      <w:r w:rsidR="005377A2">
        <w:t>. O duplo choque de oferta</w:t>
      </w:r>
      <w:r>
        <w:t xml:space="preserve"> (negativo, causado pela desvalorização do câmbio que retraiu a oferta local)</w:t>
      </w:r>
      <w:r w:rsidR="005377A2">
        <w:t xml:space="preserve"> e demanda</w:t>
      </w:r>
      <w:r>
        <w:t xml:space="preserve"> (positivo, devido ao auxílio emergencial)</w:t>
      </w:r>
      <w:r w:rsidR="005377A2">
        <w:t xml:space="preserve"> que abateu </w:t>
      </w:r>
      <w:r>
        <w:t>o mercado de</w:t>
      </w:r>
      <w:r w:rsidR="005377A2">
        <w:t xml:space="preserve"> alimentos</w:t>
      </w:r>
      <w:r>
        <w:t>, junto com a alta das commodities no mercado internacional, pressionou a categoria do índice. Ademais, a continuidade ininterrupta no processo de reabertura está causando uma normalização dos preços de alguns bens industriais e serviços</w:t>
      </w:r>
      <w:r w:rsidR="00CA3B13">
        <w:t xml:space="preserve"> que estavam, até o momento, deprimidos</w:t>
      </w:r>
      <w:r>
        <w:t xml:space="preserve">. </w:t>
      </w:r>
      <w:r w:rsidR="00F662FA">
        <w:t xml:space="preserve">Estes movimentos podem ser observados na forte aceleração da média dos cinco núcleos acompanhados pelo BCB, assim como pela alta do índice como um todo. </w:t>
      </w:r>
    </w:p>
    <w:p w14:paraId="5CDAE436" w14:textId="5471CC6D" w:rsidR="004E19C8" w:rsidRDefault="004E19C8" w:rsidP="00730A43">
      <w:pPr>
        <w:jc w:val="both"/>
      </w:pPr>
    </w:p>
    <w:p w14:paraId="2CBC5627" w14:textId="1C70E259" w:rsidR="004E19C8" w:rsidRDefault="004E19C8" w:rsidP="004E19C8">
      <w:pPr>
        <w:jc w:val="center"/>
      </w:pPr>
      <w:r>
        <w:rPr>
          <w:noProof/>
        </w:rPr>
        <w:lastRenderedPageBreak/>
        <w:drawing>
          <wp:inline distT="0" distB="0" distL="0" distR="0" wp14:anchorId="31A843A7" wp14:editId="704AB328">
            <wp:extent cx="5400000" cy="2520000"/>
            <wp:effectExtent l="0" t="0" r="0" b="0"/>
            <wp:docPr id="9" name="Gráfico 9">
              <a:extLst xmlns:a="http://schemas.openxmlformats.org/drawingml/2006/main">
                <a:ext uri="{FF2B5EF4-FFF2-40B4-BE49-F238E27FC236}">
                  <a16:creationId xmlns:a16="http://schemas.microsoft.com/office/drawing/2014/main" id="{AF713889-3470-40B0-BA54-EBCCCCE936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475A24" w14:textId="77777777" w:rsidR="00B518B1" w:rsidRDefault="00B518B1" w:rsidP="00730A43">
      <w:pPr>
        <w:jc w:val="both"/>
      </w:pPr>
    </w:p>
    <w:p w14:paraId="5D871514" w14:textId="5E36B7FF" w:rsidR="003B0855" w:rsidRDefault="00AB0E1A" w:rsidP="00730A43">
      <w:pPr>
        <w:jc w:val="both"/>
      </w:pPr>
      <w:r>
        <w:t>Embora o choque dos alimentos seja transitório</w:t>
      </w:r>
      <w:r w:rsidR="00F900DC">
        <w:t xml:space="preserve"> – mas tardará mais do que o usual para se dissipar devido ao choque duplo –</w:t>
      </w:r>
      <w:r>
        <w:t>, é inevitável que ocorra</w:t>
      </w:r>
      <w:r w:rsidR="00D4744F">
        <w:t>m</w:t>
      </w:r>
      <w:r>
        <w:t xml:space="preserve">, devido </w:t>
      </w:r>
      <w:r w:rsidR="00D4744F">
        <w:t>a</w:t>
      </w:r>
      <w:r>
        <w:t xml:space="preserve"> continuidade</w:t>
      </w:r>
      <w:r w:rsidR="009B1DAE">
        <w:t xml:space="preserve"> </w:t>
      </w:r>
      <w:r w:rsidR="00D4744F">
        <w:t>n</w:t>
      </w:r>
      <w:r w:rsidR="009B1DAE">
        <w:t>a normalização dos preços</w:t>
      </w:r>
      <w:r w:rsidR="00B518B1">
        <w:t xml:space="preserve"> industriais e de serviços</w:t>
      </w:r>
      <w:r>
        <w:t xml:space="preserve">, </w:t>
      </w:r>
      <w:r w:rsidR="009B1DAE">
        <w:t>revisões sucessivas e altistas das expectativas de inflação para 2020 e 2021</w:t>
      </w:r>
      <w:r>
        <w:t>.</w:t>
      </w:r>
      <w:r w:rsidR="009B1DAE">
        <w:t xml:space="preserve"> Assim, as expectativas de inflação se aproximam cada vez da meta,</w:t>
      </w:r>
      <w:r w:rsidR="00B518B1">
        <w:t xml:space="preserve"> possivelmente</w:t>
      </w:r>
      <w:r w:rsidR="009B1DAE">
        <w:t xml:space="preserve"> confirmando uma das </w:t>
      </w:r>
      <w:r w:rsidR="00F900DC">
        <w:t>cláusulas</w:t>
      </w:r>
      <w:r w:rsidR="009B1DAE">
        <w:t xml:space="preserve"> do BCB no que se refere ao </w:t>
      </w:r>
      <w:r w:rsidR="00CA3B13">
        <w:t>abandono</w:t>
      </w:r>
      <w:r w:rsidR="009B1DAE">
        <w:t xml:space="preserve"> do </w:t>
      </w:r>
      <w:proofErr w:type="spellStart"/>
      <w:r w:rsidR="009B1DAE">
        <w:t>Forward</w:t>
      </w:r>
      <w:proofErr w:type="spellEnd"/>
      <w:r w:rsidR="009B1DAE">
        <w:t xml:space="preserve"> </w:t>
      </w:r>
      <w:proofErr w:type="spellStart"/>
      <w:r w:rsidR="009B1DAE">
        <w:t>Guidance</w:t>
      </w:r>
      <w:proofErr w:type="spellEnd"/>
      <w:r w:rsidR="009B1DAE">
        <w:t>.</w:t>
      </w:r>
      <w:r w:rsidR="00CA3B13">
        <w:t xml:space="preserve"> </w:t>
      </w:r>
      <w:r w:rsidR="003B0855">
        <w:t>Ou seja, é bastante possível que a autoridade monetária abandone o uso da ferramenta em breve</w:t>
      </w:r>
      <w:r w:rsidR="00965997">
        <w:t>, mas não antes do final do ano.</w:t>
      </w:r>
      <w:r w:rsidR="003B0855">
        <w:t xml:space="preserve"> </w:t>
      </w:r>
    </w:p>
    <w:p w14:paraId="1F93443B" w14:textId="77777777" w:rsidR="003B0855" w:rsidRDefault="003B0855" w:rsidP="00730A43">
      <w:pPr>
        <w:jc w:val="both"/>
      </w:pPr>
    </w:p>
    <w:p w14:paraId="42F0FB0A" w14:textId="6D7D48F0" w:rsidR="00362E73" w:rsidRDefault="00CA3B13" w:rsidP="00730A43">
      <w:pPr>
        <w:jc w:val="both"/>
      </w:pPr>
      <w:r>
        <w:t>De qualquer maneira, a relação</w:t>
      </w:r>
      <w:r w:rsidR="00D4744F">
        <w:t xml:space="preserve"> entre política de juros e </w:t>
      </w:r>
      <w:proofErr w:type="spellStart"/>
      <w:r w:rsidR="00D4744F">
        <w:t>Forward</w:t>
      </w:r>
      <w:proofErr w:type="spellEnd"/>
      <w:r w:rsidR="00D4744F">
        <w:t xml:space="preserve"> </w:t>
      </w:r>
      <w:proofErr w:type="spellStart"/>
      <w:r w:rsidR="00D4744F">
        <w:t>Guidance</w:t>
      </w:r>
      <w:proofErr w:type="spellEnd"/>
      <w:r>
        <w:t xml:space="preserve"> não é mecânica.</w:t>
      </w:r>
      <w:r w:rsidR="001972F8">
        <w:t xml:space="preserve"> Abandonar o </w:t>
      </w:r>
      <w:proofErr w:type="spellStart"/>
      <w:r w:rsidR="001972F8">
        <w:t>Forward</w:t>
      </w:r>
      <w:proofErr w:type="spellEnd"/>
      <w:r w:rsidR="001972F8">
        <w:t xml:space="preserve"> </w:t>
      </w:r>
      <w:proofErr w:type="spellStart"/>
      <w:r w:rsidR="001972F8">
        <w:t>Guidance</w:t>
      </w:r>
      <w:proofErr w:type="spellEnd"/>
      <w:r w:rsidR="001972F8">
        <w:t xml:space="preserve"> não implica em elevação da taxa de juro. </w:t>
      </w:r>
      <w:r w:rsidR="00D4744F">
        <w:t xml:space="preserve">Como sempre, a política de juros será integralmente pautada em função das projeções de inflação do BC – fruto da sútil combinação de arte e técnica – além do movimento das expectativas. As expectativas de inflação para 2021 seguem abaixo da meta de 3,75% preconizada pelo CMN, significando que, caso a política fiscal retome os trilhos, a política monetária ainda tem amplo espaço para se manter em estado </w:t>
      </w:r>
      <w:proofErr w:type="spellStart"/>
      <w:r w:rsidR="00D4744F">
        <w:t>estimulativo</w:t>
      </w:r>
      <w:proofErr w:type="spellEnd"/>
      <w:r w:rsidR="0042333A">
        <w:t>, reforçando o avanço da atividade econômica</w:t>
      </w:r>
      <w:r w:rsidR="00F662FA">
        <w:t>, que ainda apresenta um elevado grau de ociosidade e precisa de estímulos</w:t>
      </w:r>
      <w:r w:rsidR="00D4744F">
        <w:t xml:space="preserve">. No limite, uma retomada efetiva das reformas, conjugada à elevada capacidade ociosa da economia, desencadearia um processo </w:t>
      </w:r>
      <w:proofErr w:type="spellStart"/>
      <w:r w:rsidR="00D4744F">
        <w:t>desinflacionário</w:t>
      </w:r>
      <w:proofErr w:type="spellEnd"/>
      <w:r w:rsidR="00D4744F">
        <w:t xml:space="preserve"> nos moldes do que ocorreu a partir de 2016</w:t>
      </w:r>
      <w:r w:rsidR="0042333A">
        <w:t xml:space="preserve"> quando o Congresso aprovou a PEC 95, mas a economia operava com elevada capacidade ociosa devido à crise de 2014-2016. </w:t>
      </w:r>
    </w:p>
    <w:p w14:paraId="3DBA55E7" w14:textId="307E534A" w:rsidR="0042795C" w:rsidRDefault="0042795C" w:rsidP="00730A43">
      <w:pPr>
        <w:jc w:val="both"/>
      </w:pPr>
    </w:p>
    <w:p w14:paraId="794E0596" w14:textId="32EF2F4B" w:rsidR="0042795C" w:rsidRDefault="0042795C" w:rsidP="00730A43">
      <w:pPr>
        <w:jc w:val="both"/>
      </w:pPr>
      <w:r>
        <w:t xml:space="preserve">Em suma, fica claro que o processo de recuperação econômica será tumultuoso, caracterizado pela incerteza </w:t>
      </w:r>
      <w:r w:rsidR="003B0855">
        <w:t xml:space="preserve">devido ao elevado número de incógnitas que caracterizam a condução da política fiscal, seus possíveis impactos sobre a direção da política monetária, além das incertezas relacionadas à própria dinâmica do vírus e do mercado de trabalho. </w:t>
      </w:r>
      <w:r>
        <w:t xml:space="preserve"> </w:t>
      </w:r>
    </w:p>
    <w:p w14:paraId="1CF62777" w14:textId="2A54C431" w:rsidR="00045002" w:rsidRDefault="00045002" w:rsidP="00730A43">
      <w:pPr>
        <w:jc w:val="both"/>
      </w:pPr>
    </w:p>
    <w:p w14:paraId="10F75BFA" w14:textId="6C3E9771" w:rsidR="00045002" w:rsidRDefault="00045002" w:rsidP="00730A43">
      <w:pPr>
        <w:jc w:val="both"/>
      </w:pPr>
      <w:r>
        <w:t>Bônus – Zona Franca de Manaus</w:t>
      </w:r>
    </w:p>
    <w:p w14:paraId="3844BEF1" w14:textId="405DE4D0" w:rsidR="00045002" w:rsidRDefault="00045002" w:rsidP="00730A43">
      <w:pPr>
        <w:jc w:val="both"/>
      </w:pPr>
    </w:p>
    <w:p w14:paraId="6D1FE16B" w14:textId="3CD0E5CF" w:rsidR="00045002" w:rsidRDefault="00045002" w:rsidP="00730A43">
      <w:pPr>
        <w:jc w:val="both"/>
      </w:pPr>
      <w:r>
        <w:lastRenderedPageBreak/>
        <w:t xml:space="preserve">A forte recuperação na região nordeste do país, observada na retomada do índice número de atividade do BCB, é de suprema importância. A intensa retomada da produção industrial na região, responsável por boa parte da produção dos insumos utilizados em outros segmentos produtivos do país, foi vital para explicar o bom desempenho do estado nos meses que seguiram a liberação dos </w:t>
      </w:r>
      <w:proofErr w:type="spellStart"/>
      <w:r>
        <w:t>lockdowns</w:t>
      </w:r>
      <w:proofErr w:type="spellEnd"/>
      <w:r>
        <w:t xml:space="preserve">. É justamente por esta razão que o estado deve continuar tendo um desempenho positivo. A indústria nacional atualmente se encontra caracterizada por um forte excesso de demanda </w:t>
      </w:r>
      <w:r w:rsidR="00E63381">
        <w:t>por</w:t>
      </w:r>
      <w:r>
        <w:t xml:space="preserve"> insumos, responsável pela enorme dificuldade que produtores do setor tem tido para atender adequadamente a</w:t>
      </w:r>
      <w:r w:rsidR="00E63381">
        <w:t xml:space="preserve"> forte retomada da</w:t>
      </w:r>
      <w:r>
        <w:t xml:space="preserve"> demanda. </w:t>
      </w:r>
      <w:r w:rsidR="00E63381">
        <w:t xml:space="preserve">Na medida em que este excesso persiste, há espaço para que o estado siga em frente com a alta da produção. </w:t>
      </w:r>
      <w:r>
        <w:t xml:space="preserve">  </w:t>
      </w:r>
    </w:p>
    <w:p w14:paraId="4CB53BD2" w14:textId="5FC4D043" w:rsidR="00F65A6E" w:rsidRDefault="00F65A6E" w:rsidP="00730A43">
      <w:pPr>
        <w:jc w:val="both"/>
      </w:pPr>
    </w:p>
    <w:p w14:paraId="441B1B68" w14:textId="5EF7419E" w:rsidR="00F65A6E" w:rsidRDefault="00F65A6E" w:rsidP="00730A43">
      <w:pPr>
        <w:jc w:val="both"/>
      </w:pPr>
    </w:p>
    <w:p w14:paraId="4E9D2643" w14:textId="77777777" w:rsidR="00F65A6E" w:rsidRDefault="00F65A6E" w:rsidP="00730A43">
      <w:pPr>
        <w:jc w:val="both"/>
      </w:pPr>
    </w:p>
    <w:p w14:paraId="62812B5E" w14:textId="1069A4DF" w:rsidR="00CC6E58" w:rsidRDefault="00CC6E58" w:rsidP="00730A43">
      <w:pPr>
        <w:jc w:val="both"/>
      </w:pPr>
    </w:p>
    <w:p w14:paraId="3FE6ABD2" w14:textId="77777777" w:rsidR="00CC6E58" w:rsidRDefault="00CC6E58" w:rsidP="00730A43">
      <w:pPr>
        <w:jc w:val="both"/>
      </w:pPr>
    </w:p>
    <w:sectPr w:rsidR="00CC6E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57613"/>
    <w:multiLevelType w:val="hybridMultilevel"/>
    <w:tmpl w:val="AF9A50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43"/>
    <w:rsid w:val="00045002"/>
    <w:rsid w:val="000B7379"/>
    <w:rsid w:val="0018224C"/>
    <w:rsid w:val="001972F8"/>
    <w:rsid w:val="001E3935"/>
    <w:rsid w:val="002777DD"/>
    <w:rsid w:val="002C66DD"/>
    <w:rsid w:val="002D0BC5"/>
    <w:rsid w:val="003573D1"/>
    <w:rsid w:val="003628EC"/>
    <w:rsid w:val="00362E73"/>
    <w:rsid w:val="0039538F"/>
    <w:rsid w:val="003A7354"/>
    <w:rsid w:val="003B0855"/>
    <w:rsid w:val="0042333A"/>
    <w:rsid w:val="0042795C"/>
    <w:rsid w:val="00476885"/>
    <w:rsid w:val="004E19C8"/>
    <w:rsid w:val="005377A2"/>
    <w:rsid w:val="00584BE0"/>
    <w:rsid w:val="00594DB9"/>
    <w:rsid w:val="00621A2D"/>
    <w:rsid w:val="00663109"/>
    <w:rsid w:val="006F60AC"/>
    <w:rsid w:val="00730A43"/>
    <w:rsid w:val="008918FE"/>
    <w:rsid w:val="008C1609"/>
    <w:rsid w:val="008C77F8"/>
    <w:rsid w:val="00945CC2"/>
    <w:rsid w:val="00965997"/>
    <w:rsid w:val="009934BC"/>
    <w:rsid w:val="00996961"/>
    <w:rsid w:val="009B1DAE"/>
    <w:rsid w:val="009F15B1"/>
    <w:rsid w:val="00A0019E"/>
    <w:rsid w:val="00A03452"/>
    <w:rsid w:val="00A26E8A"/>
    <w:rsid w:val="00A4181B"/>
    <w:rsid w:val="00AB0E1A"/>
    <w:rsid w:val="00AF698B"/>
    <w:rsid w:val="00B518B1"/>
    <w:rsid w:val="00B76E6A"/>
    <w:rsid w:val="00C50EFD"/>
    <w:rsid w:val="00C879D0"/>
    <w:rsid w:val="00CA3B13"/>
    <w:rsid w:val="00CC6E58"/>
    <w:rsid w:val="00D4744F"/>
    <w:rsid w:val="00D5589D"/>
    <w:rsid w:val="00D974E8"/>
    <w:rsid w:val="00DC28C8"/>
    <w:rsid w:val="00DD4CF4"/>
    <w:rsid w:val="00DE02A7"/>
    <w:rsid w:val="00E06AF7"/>
    <w:rsid w:val="00E51E23"/>
    <w:rsid w:val="00E63381"/>
    <w:rsid w:val="00E73445"/>
    <w:rsid w:val="00EF7C7B"/>
    <w:rsid w:val="00F35F50"/>
    <w:rsid w:val="00F65A6E"/>
    <w:rsid w:val="00F662FA"/>
    <w:rsid w:val="00F900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D86D"/>
  <w15:chartTrackingRefBased/>
  <w15:docId w15:val="{A54833AF-6644-4914-933D-806303BC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30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385429">
      <w:bodyDiv w:val="1"/>
      <w:marLeft w:val="0"/>
      <w:marRight w:val="0"/>
      <w:marTop w:val="0"/>
      <w:marBottom w:val="0"/>
      <w:divBdr>
        <w:top w:val="none" w:sz="0" w:space="0" w:color="auto"/>
        <w:left w:val="none" w:sz="0" w:space="0" w:color="auto"/>
        <w:bottom w:val="none" w:sz="0" w:space="0" w:color="auto"/>
        <w:right w:val="none" w:sz="0" w:space="0" w:color="auto"/>
      </w:divBdr>
      <w:divsChild>
        <w:div w:id="772362880">
          <w:marLeft w:val="0"/>
          <w:marRight w:val="0"/>
          <w:marTop w:val="0"/>
          <w:marBottom w:val="0"/>
          <w:divBdr>
            <w:top w:val="none" w:sz="0" w:space="0" w:color="auto"/>
            <w:left w:val="none" w:sz="0" w:space="0" w:color="auto"/>
            <w:bottom w:val="none" w:sz="0" w:space="0" w:color="auto"/>
            <w:right w:val="none" w:sz="0" w:space="0" w:color="auto"/>
          </w:divBdr>
          <w:divsChild>
            <w:div w:id="768354975">
              <w:marLeft w:val="0"/>
              <w:marRight w:val="0"/>
              <w:marTop w:val="0"/>
              <w:marBottom w:val="0"/>
              <w:divBdr>
                <w:top w:val="none" w:sz="0" w:space="0" w:color="auto"/>
                <w:left w:val="none" w:sz="0" w:space="0" w:color="auto"/>
                <w:bottom w:val="none" w:sz="0" w:space="0" w:color="auto"/>
                <w:right w:val="none" w:sz="0" w:space="0" w:color="auto"/>
              </w:divBdr>
            </w:div>
          </w:divsChild>
        </w:div>
        <w:div w:id="241064752">
          <w:marLeft w:val="0"/>
          <w:marRight w:val="0"/>
          <w:marTop w:val="0"/>
          <w:marBottom w:val="0"/>
          <w:divBdr>
            <w:top w:val="none" w:sz="0" w:space="0" w:color="auto"/>
            <w:left w:val="none" w:sz="0" w:space="0" w:color="auto"/>
            <w:bottom w:val="none" w:sz="0" w:space="0" w:color="auto"/>
            <w:right w:val="none" w:sz="0" w:space="0" w:color="auto"/>
          </w:divBdr>
          <w:divsChild>
            <w:div w:id="2083021117">
              <w:marLeft w:val="0"/>
              <w:marRight w:val="0"/>
              <w:marTop w:val="0"/>
              <w:marBottom w:val="0"/>
              <w:divBdr>
                <w:top w:val="none" w:sz="0" w:space="0" w:color="auto"/>
                <w:left w:val="none" w:sz="0" w:space="0" w:color="auto"/>
                <w:bottom w:val="none" w:sz="0" w:space="0" w:color="auto"/>
                <w:right w:val="none" w:sz="0" w:space="0" w:color="auto"/>
              </w:divBdr>
              <w:divsChild>
                <w:div w:id="19558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MFIEXPE0%20(1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ownloads\ATVIBG11%20(10).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esktop\covid%20conrad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uario\Downloads\ATVPNAD1%20(5).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uario\Downloads\ATVPNAD4%20(3).xls"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uario\Downloads\ATVIBC1%20(6).xls"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uario\Downloads\FINAJUST0%20(3).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uario\Desktop\ibov.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uario\Downloads\PRCCOREDZ0%20(15).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200">
                <a:solidFill>
                  <a:schemeClr val="tx1"/>
                </a:solidFill>
              </a:rPr>
              <a:t>Gráfico 1</a:t>
            </a:r>
            <a:r>
              <a:rPr lang="pt-BR" sz="1200" baseline="0">
                <a:solidFill>
                  <a:schemeClr val="tx1"/>
                </a:solidFill>
              </a:rPr>
              <a:t>: Mediana das Projeçõeos p/ o Crescimento do PIB</a:t>
            </a:r>
          </a:p>
          <a:p>
            <a:pPr>
              <a:defRPr/>
            </a:pPr>
            <a:r>
              <a:rPr lang="pt-BR" sz="1000" baseline="0">
                <a:solidFill>
                  <a:schemeClr val="tx1"/>
                </a:solidFill>
              </a:rPr>
              <a:t>Fonte: BCB</a:t>
            </a:r>
            <a:endParaRPr lang="pt-BR" sz="1000">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Total'!$B$4569:$B$4796</c:f>
            </c:numRef>
          </c:val>
          <c:smooth val="0"/>
          <c:extLst>
            <c:ext xmlns:c16="http://schemas.microsoft.com/office/drawing/2014/chart" uri="{C3380CC4-5D6E-409C-BE32-E72D297353CC}">
              <c16:uniqueId val="{00000000-DA75-486E-AAA3-1A7A3707044B}"/>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Total'!$C$4569:$C$4796</c:f>
            </c:numRef>
          </c:val>
          <c:smooth val="0"/>
          <c:extLst>
            <c:ext xmlns:c16="http://schemas.microsoft.com/office/drawing/2014/chart" uri="{C3380CC4-5D6E-409C-BE32-E72D297353CC}">
              <c16:uniqueId val="{00000001-DA75-486E-AAA3-1A7A3707044B}"/>
            </c:ext>
          </c:extLst>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Total'!$D$4569:$D$4796</c:f>
            </c:numRef>
          </c:val>
          <c:smooth val="0"/>
          <c:extLst>
            <c:ext xmlns:c16="http://schemas.microsoft.com/office/drawing/2014/chart" uri="{C3380CC4-5D6E-409C-BE32-E72D297353CC}">
              <c16:uniqueId val="{00000002-DA75-486E-AAA3-1A7A3707044B}"/>
            </c:ext>
          </c:extLst>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Total'!$E$4569:$E$4796</c:f>
            </c:numRef>
          </c:val>
          <c:smooth val="0"/>
          <c:extLst>
            <c:ext xmlns:c16="http://schemas.microsoft.com/office/drawing/2014/chart" uri="{C3380CC4-5D6E-409C-BE32-E72D297353CC}">
              <c16:uniqueId val="{00000003-DA75-486E-AAA3-1A7A3707044B}"/>
            </c:ext>
          </c:extLst>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Total'!$F$4569:$F$4796</c:f>
            </c:numRef>
          </c:val>
          <c:smooth val="0"/>
          <c:extLst>
            <c:ext xmlns:c16="http://schemas.microsoft.com/office/drawing/2014/chart" uri="{C3380CC4-5D6E-409C-BE32-E72D297353CC}">
              <c16:uniqueId val="{00000004-DA75-486E-AAA3-1A7A3707044B}"/>
            </c:ext>
          </c:extLst>
        </c:ser>
        <c: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Total'!$G$4569:$G$4796</c:f>
            </c:numRef>
          </c:val>
          <c:smooth val="0"/>
          <c:extLst>
            <c:ext xmlns:c16="http://schemas.microsoft.com/office/drawing/2014/chart" uri="{C3380CC4-5D6E-409C-BE32-E72D297353CC}">
              <c16:uniqueId val="{00000005-DA75-486E-AAA3-1A7A3707044B}"/>
            </c:ext>
          </c:extLst>
        </c:ser>
        <c:ser>
          <c:idx val="6"/>
          <c:order val="6"/>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Total'!$H$4569:$H$4796</c:f>
            </c:numRef>
          </c:val>
          <c:smooth val="0"/>
          <c:extLst>
            <c:ext xmlns:c16="http://schemas.microsoft.com/office/drawing/2014/chart" uri="{C3380CC4-5D6E-409C-BE32-E72D297353CC}">
              <c16:uniqueId val="{00000006-DA75-486E-AAA3-1A7A3707044B}"/>
            </c:ext>
          </c:extLst>
        </c:ser>
        <c:ser>
          <c:idx val="7"/>
          <c:order val="7"/>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Total'!$I$4569:$I$4796</c:f>
            </c:numRef>
          </c:val>
          <c:smooth val="0"/>
          <c:extLst>
            <c:ext xmlns:c16="http://schemas.microsoft.com/office/drawing/2014/chart" uri="{C3380CC4-5D6E-409C-BE32-E72D297353CC}">
              <c16:uniqueId val="{00000007-DA75-486E-AAA3-1A7A3707044B}"/>
            </c:ext>
          </c:extLst>
        </c:ser>
        <c:ser>
          <c:idx val="8"/>
          <c:order val="8"/>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Total'!$J$4569:$J$4796</c:f>
            </c:numRef>
          </c:val>
          <c:smooth val="0"/>
          <c:extLst>
            <c:ext xmlns:c16="http://schemas.microsoft.com/office/drawing/2014/chart" uri="{C3380CC4-5D6E-409C-BE32-E72D297353CC}">
              <c16:uniqueId val="{00000008-DA75-486E-AAA3-1A7A3707044B}"/>
            </c:ext>
          </c:extLst>
        </c:ser>
        <c:ser>
          <c:idx val="9"/>
          <c:order val="9"/>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Total'!$K$4569:$K$4796</c:f>
            </c:numRef>
          </c:val>
          <c:smooth val="0"/>
          <c:extLst>
            <c:ext xmlns:c16="http://schemas.microsoft.com/office/drawing/2014/chart" uri="{C3380CC4-5D6E-409C-BE32-E72D297353CC}">
              <c16:uniqueId val="{00000009-DA75-486E-AAA3-1A7A3707044B}"/>
            </c:ext>
          </c:extLst>
        </c:ser>
        <c:ser>
          <c:idx val="10"/>
          <c:order val="10"/>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Total'!$L$4569:$L$4796</c:f>
            </c:numRef>
          </c:val>
          <c:smooth val="0"/>
          <c:extLst>
            <c:ext xmlns:c16="http://schemas.microsoft.com/office/drawing/2014/chart" uri="{C3380CC4-5D6E-409C-BE32-E72D297353CC}">
              <c16:uniqueId val="{0000000A-DA75-486E-AAA3-1A7A3707044B}"/>
            </c:ext>
          </c:extLst>
        </c:ser>
        <c:ser>
          <c:idx val="11"/>
          <c:order val="11"/>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Total'!$M$4569:$M$4796</c:f>
            </c:numRef>
          </c:val>
          <c:smooth val="0"/>
          <c:extLst>
            <c:ext xmlns:c16="http://schemas.microsoft.com/office/drawing/2014/chart" uri="{C3380CC4-5D6E-409C-BE32-E72D297353CC}">
              <c16:uniqueId val="{0000000B-DA75-486E-AAA3-1A7A3707044B}"/>
            </c:ext>
          </c:extLst>
        </c:ser>
        <c:ser>
          <c:idx val="12"/>
          <c:order val="12"/>
          <c:spPr>
            <a:ln w="28575"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Total'!$N$4569:$N$4796</c:f>
            </c:numRef>
          </c:val>
          <c:smooth val="0"/>
          <c:extLst>
            <c:ext xmlns:c16="http://schemas.microsoft.com/office/drawing/2014/chart" uri="{C3380CC4-5D6E-409C-BE32-E72D297353CC}">
              <c16:uniqueId val="{0000000C-DA75-486E-AAA3-1A7A3707044B}"/>
            </c:ext>
          </c:extLst>
        </c:ser>
        <c:ser>
          <c:idx val="13"/>
          <c:order val="13"/>
          <c:spPr>
            <a:ln w="28575"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Total'!$O$4569:$O$4796</c:f>
            </c:numRef>
          </c:val>
          <c:smooth val="0"/>
          <c:extLst>
            <c:ext xmlns:c16="http://schemas.microsoft.com/office/drawing/2014/chart" uri="{C3380CC4-5D6E-409C-BE32-E72D297353CC}">
              <c16:uniqueId val="{0000000D-DA75-486E-AAA3-1A7A3707044B}"/>
            </c:ext>
          </c:extLst>
        </c:ser>
        <c:ser>
          <c:idx val="14"/>
          <c:order val="14"/>
          <c:spPr>
            <a:ln w="28575"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Total'!$P$4569:$P$4796</c:f>
            </c:numRef>
          </c:val>
          <c:smooth val="0"/>
          <c:extLst>
            <c:ext xmlns:c16="http://schemas.microsoft.com/office/drawing/2014/chart" uri="{C3380CC4-5D6E-409C-BE32-E72D297353CC}">
              <c16:uniqueId val="{0000000E-DA75-486E-AAA3-1A7A3707044B}"/>
            </c:ext>
          </c:extLst>
        </c:ser>
        <c:ser>
          <c:idx val="15"/>
          <c:order val="15"/>
          <c:spPr>
            <a:ln w="28575"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Total'!$Q$4569:$Q$4796</c:f>
            </c:numRef>
          </c:val>
          <c:smooth val="0"/>
          <c:extLst>
            <c:ext xmlns:c16="http://schemas.microsoft.com/office/drawing/2014/chart" uri="{C3380CC4-5D6E-409C-BE32-E72D297353CC}">
              <c16:uniqueId val="{0000000F-DA75-486E-AAA3-1A7A3707044B}"/>
            </c:ext>
          </c:extLst>
        </c:ser>
        <c:ser>
          <c:idx val="16"/>
          <c:order val="16"/>
          <c:spPr>
            <a:ln w="28575" cap="rnd">
              <a:solidFill>
                <a:schemeClr val="accent5">
                  <a:lumMod val="80000"/>
                  <a:lumOff val="20000"/>
                </a:schemeClr>
              </a:solid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Total'!$R$4569:$R$4796</c:f>
            </c:numRef>
          </c:val>
          <c:smooth val="0"/>
          <c:extLst>
            <c:ext xmlns:c16="http://schemas.microsoft.com/office/drawing/2014/chart" uri="{C3380CC4-5D6E-409C-BE32-E72D297353CC}">
              <c16:uniqueId val="{00000010-DA75-486E-AAA3-1A7A3707044B}"/>
            </c:ext>
          </c:extLst>
        </c:ser>
        <c:ser>
          <c:idx val="17"/>
          <c:order val="17"/>
          <c:spPr>
            <a:ln w="28575" cap="rnd">
              <a:solidFill>
                <a:schemeClr val="accent6">
                  <a:lumMod val="80000"/>
                  <a:lumOff val="20000"/>
                </a:schemeClr>
              </a:solid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Total'!$S$4569:$S$4796</c:f>
            </c:numRef>
          </c:val>
          <c:smooth val="0"/>
          <c:extLst>
            <c:ext xmlns:c16="http://schemas.microsoft.com/office/drawing/2014/chart" uri="{C3380CC4-5D6E-409C-BE32-E72D297353CC}">
              <c16:uniqueId val="{00000011-DA75-486E-AAA3-1A7A3707044B}"/>
            </c:ext>
          </c:extLst>
        </c:ser>
        <c:ser>
          <c:idx val="18"/>
          <c:order val="18"/>
          <c:spPr>
            <a:ln w="28575" cap="rnd">
              <a:solidFill>
                <a:schemeClr val="accent1">
                  <a:lumMod val="80000"/>
                </a:schemeClr>
              </a:solidFill>
              <a:round/>
            </a:ln>
            <a:effectLst/>
          </c:spPr>
          <c:marker>
            <c:symbol val="circle"/>
            <c:size val="5"/>
            <c:spPr>
              <a:solidFill>
                <a:schemeClr val="accent1">
                  <a:lumMod val="80000"/>
                </a:schemeClr>
              </a:solidFill>
              <a:ln w="9525">
                <a:solidFill>
                  <a:schemeClr val="accent1">
                    <a:lumMod val="80000"/>
                  </a:schemeClr>
                </a:solidFill>
              </a:ln>
              <a:effectLst/>
            </c:spPr>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Total'!$T$4569:$T$4796</c:f>
            </c:numRef>
          </c:val>
          <c:smooth val="0"/>
          <c:extLst>
            <c:ext xmlns:c16="http://schemas.microsoft.com/office/drawing/2014/chart" uri="{C3380CC4-5D6E-409C-BE32-E72D297353CC}">
              <c16:uniqueId val="{00000012-DA75-486E-AAA3-1A7A3707044B}"/>
            </c:ext>
          </c:extLst>
        </c:ser>
        <c:ser>
          <c:idx val="19"/>
          <c:order val="19"/>
          <c:spPr>
            <a:ln w="28575" cap="rnd">
              <a:solidFill>
                <a:schemeClr val="accent2">
                  <a:lumMod val="80000"/>
                </a:schemeClr>
              </a:solidFill>
              <a:round/>
            </a:ln>
            <a:effectLst/>
          </c:spPr>
          <c:marker>
            <c:symbol val="none"/>
          </c:marker>
          <c:cat>
            <c:numRef>
              <c:f>'PIB Total'!$A$4569:$A$4796</c:f>
              <c:numCache>
                <c:formatCode>dd/mm/yy;@</c:formatCode>
                <c:ptCount val="228"/>
                <c:pt idx="0">
                  <c:v>43832</c:v>
                </c:pt>
                <c:pt idx="1">
                  <c:v>43833</c:v>
                </c:pt>
                <c:pt idx="2">
                  <c:v>43836</c:v>
                </c:pt>
                <c:pt idx="3">
                  <c:v>43837</c:v>
                </c:pt>
                <c:pt idx="4">
                  <c:v>43838</c:v>
                </c:pt>
                <c:pt idx="5">
                  <c:v>43839</c:v>
                </c:pt>
                <c:pt idx="6">
                  <c:v>43840</c:v>
                </c:pt>
                <c:pt idx="7">
                  <c:v>43843</c:v>
                </c:pt>
                <c:pt idx="8">
                  <c:v>43844</c:v>
                </c:pt>
                <c:pt idx="9">
                  <c:v>43845</c:v>
                </c:pt>
                <c:pt idx="10">
                  <c:v>43846</c:v>
                </c:pt>
                <c:pt idx="11">
                  <c:v>43847</c:v>
                </c:pt>
                <c:pt idx="12">
                  <c:v>43850</c:v>
                </c:pt>
                <c:pt idx="13">
                  <c:v>43851</c:v>
                </c:pt>
                <c:pt idx="14">
                  <c:v>43852</c:v>
                </c:pt>
                <c:pt idx="15">
                  <c:v>43853</c:v>
                </c:pt>
                <c:pt idx="16">
                  <c:v>43854</c:v>
                </c:pt>
                <c:pt idx="17">
                  <c:v>43857</c:v>
                </c:pt>
                <c:pt idx="18">
                  <c:v>43858</c:v>
                </c:pt>
                <c:pt idx="19">
                  <c:v>43859</c:v>
                </c:pt>
                <c:pt idx="20">
                  <c:v>43860</c:v>
                </c:pt>
                <c:pt idx="21">
                  <c:v>43861</c:v>
                </c:pt>
                <c:pt idx="22">
                  <c:v>43864</c:v>
                </c:pt>
                <c:pt idx="23">
                  <c:v>43865</c:v>
                </c:pt>
                <c:pt idx="24">
                  <c:v>43866</c:v>
                </c:pt>
                <c:pt idx="25">
                  <c:v>43867</c:v>
                </c:pt>
                <c:pt idx="26">
                  <c:v>43868</c:v>
                </c:pt>
                <c:pt idx="27">
                  <c:v>43871</c:v>
                </c:pt>
                <c:pt idx="28">
                  <c:v>43872</c:v>
                </c:pt>
                <c:pt idx="29">
                  <c:v>43873</c:v>
                </c:pt>
                <c:pt idx="30">
                  <c:v>43874</c:v>
                </c:pt>
                <c:pt idx="31">
                  <c:v>43875</c:v>
                </c:pt>
                <c:pt idx="32">
                  <c:v>43878</c:v>
                </c:pt>
                <c:pt idx="33">
                  <c:v>43879</c:v>
                </c:pt>
                <c:pt idx="34">
                  <c:v>43880</c:v>
                </c:pt>
                <c:pt idx="35">
                  <c:v>43881</c:v>
                </c:pt>
                <c:pt idx="36">
                  <c:v>43882</c:v>
                </c:pt>
                <c:pt idx="37">
                  <c:v>43887</c:v>
                </c:pt>
                <c:pt idx="38">
                  <c:v>43888</c:v>
                </c:pt>
                <c:pt idx="39">
                  <c:v>43889</c:v>
                </c:pt>
                <c:pt idx="40">
                  <c:v>43892</c:v>
                </c:pt>
                <c:pt idx="41">
                  <c:v>43893</c:v>
                </c:pt>
                <c:pt idx="42">
                  <c:v>43894</c:v>
                </c:pt>
                <c:pt idx="43">
                  <c:v>43895</c:v>
                </c:pt>
                <c:pt idx="44">
                  <c:v>43896</c:v>
                </c:pt>
                <c:pt idx="45">
                  <c:v>43899</c:v>
                </c:pt>
                <c:pt idx="46">
                  <c:v>43900</c:v>
                </c:pt>
                <c:pt idx="47">
                  <c:v>43901</c:v>
                </c:pt>
                <c:pt idx="48">
                  <c:v>43902</c:v>
                </c:pt>
                <c:pt idx="49">
                  <c:v>43903</c:v>
                </c:pt>
                <c:pt idx="50">
                  <c:v>43906</c:v>
                </c:pt>
                <c:pt idx="51">
                  <c:v>43907</c:v>
                </c:pt>
                <c:pt idx="52">
                  <c:v>43908</c:v>
                </c:pt>
                <c:pt idx="53">
                  <c:v>43909</c:v>
                </c:pt>
                <c:pt idx="54">
                  <c:v>43910</c:v>
                </c:pt>
                <c:pt idx="55">
                  <c:v>43913</c:v>
                </c:pt>
                <c:pt idx="56">
                  <c:v>43914</c:v>
                </c:pt>
                <c:pt idx="57">
                  <c:v>43915</c:v>
                </c:pt>
                <c:pt idx="58">
                  <c:v>43916</c:v>
                </c:pt>
                <c:pt idx="59">
                  <c:v>43917</c:v>
                </c:pt>
                <c:pt idx="60">
                  <c:v>43920</c:v>
                </c:pt>
                <c:pt idx="61">
                  <c:v>43921</c:v>
                </c:pt>
                <c:pt idx="62">
                  <c:v>43922</c:v>
                </c:pt>
                <c:pt idx="63">
                  <c:v>43923</c:v>
                </c:pt>
                <c:pt idx="64">
                  <c:v>43924</c:v>
                </c:pt>
                <c:pt idx="65">
                  <c:v>43927</c:v>
                </c:pt>
                <c:pt idx="66">
                  <c:v>43928</c:v>
                </c:pt>
                <c:pt idx="67">
                  <c:v>43929</c:v>
                </c:pt>
                <c:pt idx="68">
                  <c:v>43930</c:v>
                </c:pt>
                <c:pt idx="69">
                  <c:v>43934</c:v>
                </c:pt>
                <c:pt idx="70">
                  <c:v>43935</c:v>
                </c:pt>
                <c:pt idx="71">
                  <c:v>43936</c:v>
                </c:pt>
                <c:pt idx="72">
                  <c:v>43937</c:v>
                </c:pt>
                <c:pt idx="73">
                  <c:v>43938</c:v>
                </c:pt>
                <c:pt idx="74">
                  <c:v>43941</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43976</c:v>
                </c:pt>
                <c:pt idx="98">
                  <c:v>43977</c:v>
                </c:pt>
                <c:pt idx="99">
                  <c:v>43978</c:v>
                </c:pt>
                <c:pt idx="100">
                  <c:v>43979</c:v>
                </c:pt>
                <c:pt idx="101">
                  <c:v>43980</c:v>
                </c:pt>
                <c:pt idx="102">
                  <c:v>43983</c:v>
                </c:pt>
                <c:pt idx="103">
                  <c:v>43984</c:v>
                </c:pt>
                <c:pt idx="104">
                  <c:v>43985</c:v>
                </c:pt>
                <c:pt idx="105">
                  <c:v>43986</c:v>
                </c:pt>
                <c:pt idx="106">
                  <c:v>43987</c:v>
                </c:pt>
                <c:pt idx="107">
                  <c:v>43990</c:v>
                </c:pt>
                <c:pt idx="108">
                  <c:v>43991</c:v>
                </c:pt>
                <c:pt idx="109">
                  <c:v>43992</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44082</c:v>
                </c:pt>
                <c:pt idx="172">
                  <c:v>44083</c:v>
                </c:pt>
                <c:pt idx="173">
                  <c:v>44084</c:v>
                </c:pt>
                <c:pt idx="174">
                  <c:v>44085</c:v>
                </c:pt>
                <c:pt idx="175">
                  <c:v>44088</c:v>
                </c:pt>
                <c:pt idx="176">
                  <c:v>44089</c:v>
                </c:pt>
                <c:pt idx="177">
                  <c:v>44090</c:v>
                </c:pt>
                <c:pt idx="178">
                  <c:v>44091</c:v>
                </c:pt>
                <c:pt idx="179">
                  <c:v>44092</c:v>
                </c:pt>
                <c:pt idx="180">
                  <c:v>44095</c:v>
                </c:pt>
                <c:pt idx="181">
                  <c:v>44096</c:v>
                </c:pt>
                <c:pt idx="182">
                  <c:v>44097</c:v>
                </c:pt>
                <c:pt idx="183">
                  <c:v>44098</c:v>
                </c:pt>
                <c:pt idx="184">
                  <c:v>44099</c:v>
                </c:pt>
                <c:pt idx="185">
                  <c:v>44102</c:v>
                </c:pt>
                <c:pt idx="186">
                  <c:v>44103</c:v>
                </c:pt>
                <c:pt idx="187">
                  <c:v>44104</c:v>
                </c:pt>
                <c:pt idx="188">
                  <c:v>44105</c:v>
                </c:pt>
                <c:pt idx="189">
                  <c:v>44106</c:v>
                </c:pt>
                <c:pt idx="190">
                  <c:v>44109</c:v>
                </c:pt>
                <c:pt idx="191">
                  <c:v>44110</c:v>
                </c:pt>
                <c:pt idx="192">
                  <c:v>44111</c:v>
                </c:pt>
                <c:pt idx="193">
                  <c:v>44112</c:v>
                </c:pt>
                <c:pt idx="194">
                  <c:v>44113</c:v>
                </c:pt>
                <c:pt idx="195">
                  <c:v>44117</c:v>
                </c:pt>
                <c:pt idx="196">
                  <c:v>44118</c:v>
                </c:pt>
                <c:pt idx="197">
                  <c:v>44119</c:v>
                </c:pt>
                <c:pt idx="198">
                  <c:v>44120</c:v>
                </c:pt>
                <c:pt idx="199">
                  <c:v>44123</c:v>
                </c:pt>
                <c:pt idx="200">
                  <c:v>44124</c:v>
                </c:pt>
                <c:pt idx="201">
                  <c:v>44125</c:v>
                </c:pt>
                <c:pt idx="202">
                  <c:v>44126</c:v>
                </c:pt>
                <c:pt idx="203">
                  <c:v>44127</c:v>
                </c:pt>
                <c:pt idx="204">
                  <c:v>44130</c:v>
                </c:pt>
                <c:pt idx="205">
                  <c:v>44131</c:v>
                </c:pt>
                <c:pt idx="206">
                  <c:v>44132</c:v>
                </c:pt>
                <c:pt idx="207">
                  <c:v>44133</c:v>
                </c:pt>
                <c:pt idx="208">
                  <c:v>44134</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numCache>
            </c:numRef>
          </c:cat>
          <c:val>
            <c:numRef>
              <c:f>'PIB Total'!$U$4569:$U$4796</c:f>
              <c:numCache>
                <c:formatCode>#,##0.00</c:formatCode>
                <c:ptCount val="228"/>
                <c:pt idx="0">
                  <c:v>2.2999999999999998</c:v>
                </c:pt>
                <c:pt idx="1">
                  <c:v>2.2999999999999998</c:v>
                </c:pt>
                <c:pt idx="2">
                  <c:v>2.2999999999999998</c:v>
                </c:pt>
                <c:pt idx="3">
                  <c:v>2.31</c:v>
                </c:pt>
                <c:pt idx="4">
                  <c:v>2.31</c:v>
                </c:pt>
                <c:pt idx="5">
                  <c:v>2.2999999999999998</c:v>
                </c:pt>
                <c:pt idx="6">
                  <c:v>2.2999999999999998</c:v>
                </c:pt>
                <c:pt idx="7">
                  <c:v>2.33</c:v>
                </c:pt>
                <c:pt idx="8">
                  <c:v>2.33</c:v>
                </c:pt>
                <c:pt idx="9">
                  <c:v>2.31</c:v>
                </c:pt>
                <c:pt idx="10">
                  <c:v>2.31</c:v>
                </c:pt>
                <c:pt idx="11">
                  <c:v>2.31</c:v>
                </c:pt>
                <c:pt idx="12">
                  <c:v>2.33</c:v>
                </c:pt>
                <c:pt idx="13">
                  <c:v>2.33</c:v>
                </c:pt>
                <c:pt idx="14">
                  <c:v>2.33</c:v>
                </c:pt>
                <c:pt idx="15">
                  <c:v>2.2999999999999998</c:v>
                </c:pt>
                <c:pt idx="16">
                  <c:v>2.31</c:v>
                </c:pt>
                <c:pt idx="17">
                  <c:v>2.2999999999999998</c:v>
                </c:pt>
                <c:pt idx="18">
                  <c:v>2.2999999999999998</c:v>
                </c:pt>
                <c:pt idx="19">
                  <c:v>2.2999999999999998</c:v>
                </c:pt>
                <c:pt idx="20">
                  <c:v>2.2999999999999998</c:v>
                </c:pt>
                <c:pt idx="21">
                  <c:v>2.2999999999999998</c:v>
                </c:pt>
                <c:pt idx="22">
                  <c:v>2.2999999999999998</c:v>
                </c:pt>
                <c:pt idx="23">
                  <c:v>2.2999999999999998</c:v>
                </c:pt>
                <c:pt idx="24">
                  <c:v>2.2999999999999998</c:v>
                </c:pt>
                <c:pt idx="25">
                  <c:v>2.31</c:v>
                </c:pt>
                <c:pt idx="26">
                  <c:v>2.2999999999999998</c:v>
                </c:pt>
                <c:pt idx="27">
                  <c:v>2.2999999999999998</c:v>
                </c:pt>
                <c:pt idx="28">
                  <c:v>2.2999999999999998</c:v>
                </c:pt>
                <c:pt idx="29">
                  <c:v>2.2999999999999998</c:v>
                </c:pt>
                <c:pt idx="30">
                  <c:v>2.2799999999999998</c:v>
                </c:pt>
                <c:pt idx="31">
                  <c:v>2.23</c:v>
                </c:pt>
                <c:pt idx="32">
                  <c:v>2.23</c:v>
                </c:pt>
                <c:pt idx="33">
                  <c:v>2.2200000000000002</c:v>
                </c:pt>
                <c:pt idx="34">
                  <c:v>2.2000000000000002</c:v>
                </c:pt>
                <c:pt idx="35">
                  <c:v>2.2000000000000002</c:v>
                </c:pt>
                <c:pt idx="36">
                  <c:v>2.2000000000000002</c:v>
                </c:pt>
                <c:pt idx="37">
                  <c:v>2.2000000000000002</c:v>
                </c:pt>
                <c:pt idx="38">
                  <c:v>2.2000000000000002</c:v>
                </c:pt>
                <c:pt idx="39">
                  <c:v>2.17</c:v>
                </c:pt>
                <c:pt idx="40">
                  <c:v>2.13</c:v>
                </c:pt>
                <c:pt idx="41">
                  <c:v>2.11</c:v>
                </c:pt>
                <c:pt idx="42">
                  <c:v>2.1</c:v>
                </c:pt>
                <c:pt idx="43">
                  <c:v>2.08</c:v>
                </c:pt>
                <c:pt idx="44">
                  <c:v>1.99</c:v>
                </c:pt>
                <c:pt idx="45">
                  <c:v>1.93</c:v>
                </c:pt>
                <c:pt idx="46">
                  <c:v>1.92</c:v>
                </c:pt>
                <c:pt idx="47">
                  <c:v>1.9</c:v>
                </c:pt>
                <c:pt idx="48">
                  <c:v>1.88</c:v>
                </c:pt>
                <c:pt idx="49">
                  <c:v>1.68</c:v>
                </c:pt>
                <c:pt idx="50">
                  <c:v>1.64</c:v>
                </c:pt>
                <c:pt idx="51">
                  <c:v>1.6</c:v>
                </c:pt>
                <c:pt idx="52">
                  <c:v>1.6</c:v>
                </c:pt>
                <c:pt idx="53">
                  <c:v>1.57</c:v>
                </c:pt>
                <c:pt idx="54">
                  <c:v>1.48</c:v>
                </c:pt>
                <c:pt idx="55">
                  <c:v>1.35</c:v>
                </c:pt>
                <c:pt idx="56">
                  <c:v>1.1200000000000001</c:v>
                </c:pt>
                <c:pt idx="57">
                  <c:v>1</c:v>
                </c:pt>
                <c:pt idx="58">
                  <c:v>0.8</c:v>
                </c:pt>
                <c:pt idx="59">
                  <c:v>-0.48</c:v>
                </c:pt>
                <c:pt idx="60">
                  <c:v>-0.84</c:v>
                </c:pt>
                <c:pt idx="61">
                  <c:v>-0.9</c:v>
                </c:pt>
                <c:pt idx="62">
                  <c:v>-0.9</c:v>
                </c:pt>
                <c:pt idx="63">
                  <c:v>-0.9</c:v>
                </c:pt>
                <c:pt idx="64">
                  <c:v>-1.18</c:v>
                </c:pt>
                <c:pt idx="65">
                  <c:v>-1.47</c:v>
                </c:pt>
                <c:pt idx="66">
                  <c:v>-1.56</c:v>
                </c:pt>
                <c:pt idx="67">
                  <c:v>-1.72</c:v>
                </c:pt>
                <c:pt idx="68">
                  <c:v>-1.96</c:v>
                </c:pt>
                <c:pt idx="69">
                  <c:v>-2.2000000000000002</c:v>
                </c:pt>
                <c:pt idx="70">
                  <c:v>-2.2999999999999998</c:v>
                </c:pt>
                <c:pt idx="71">
                  <c:v>-2.4700000000000002</c:v>
                </c:pt>
                <c:pt idx="72">
                  <c:v>-2.48</c:v>
                </c:pt>
                <c:pt idx="73">
                  <c:v>-2.96</c:v>
                </c:pt>
                <c:pt idx="74">
                  <c:v>-3</c:v>
                </c:pt>
                <c:pt idx="75">
                  <c:v>-3</c:v>
                </c:pt>
                <c:pt idx="76">
                  <c:v>-3.01</c:v>
                </c:pt>
                <c:pt idx="77">
                  <c:v>-3.34</c:v>
                </c:pt>
                <c:pt idx="78">
                  <c:v>-3.5</c:v>
                </c:pt>
                <c:pt idx="79">
                  <c:v>-3.51</c:v>
                </c:pt>
                <c:pt idx="80">
                  <c:v>-3.51</c:v>
                </c:pt>
                <c:pt idx="81">
                  <c:v>-3.76</c:v>
                </c:pt>
                <c:pt idx="82">
                  <c:v>-3.98</c:v>
                </c:pt>
                <c:pt idx="83">
                  <c:v>-4.0199999999999996</c:v>
                </c:pt>
                <c:pt idx="84">
                  <c:v>-4.04</c:v>
                </c:pt>
                <c:pt idx="85">
                  <c:v>-4.05</c:v>
                </c:pt>
                <c:pt idx="86">
                  <c:v>-4.1100000000000003</c:v>
                </c:pt>
                <c:pt idx="87">
                  <c:v>-4.38</c:v>
                </c:pt>
                <c:pt idx="88">
                  <c:v>-4.38</c:v>
                </c:pt>
                <c:pt idx="89">
                  <c:v>-4.4000000000000004</c:v>
                </c:pt>
                <c:pt idx="90">
                  <c:v>-4.51</c:v>
                </c:pt>
                <c:pt idx="91">
                  <c:v>-5.12</c:v>
                </c:pt>
                <c:pt idx="92">
                  <c:v>-5.28</c:v>
                </c:pt>
                <c:pt idx="93">
                  <c:v>-5.31</c:v>
                </c:pt>
                <c:pt idx="94">
                  <c:v>-5.37</c:v>
                </c:pt>
                <c:pt idx="95">
                  <c:v>-5.5</c:v>
                </c:pt>
                <c:pt idx="96">
                  <c:v>-5.89</c:v>
                </c:pt>
                <c:pt idx="97">
                  <c:v>-6.05</c:v>
                </c:pt>
                <c:pt idx="98">
                  <c:v>-6.05</c:v>
                </c:pt>
                <c:pt idx="99">
                  <c:v>-6.1</c:v>
                </c:pt>
                <c:pt idx="100">
                  <c:v>-6.1</c:v>
                </c:pt>
                <c:pt idx="101">
                  <c:v>-6.25</c:v>
                </c:pt>
                <c:pt idx="102">
                  <c:v>-6.46</c:v>
                </c:pt>
                <c:pt idx="103">
                  <c:v>-6.52</c:v>
                </c:pt>
                <c:pt idx="104">
                  <c:v>-6.5</c:v>
                </c:pt>
                <c:pt idx="105">
                  <c:v>-6.52</c:v>
                </c:pt>
                <c:pt idx="106">
                  <c:v>-6.48</c:v>
                </c:pt>
                <c:pt idx="107">
                  <c:v>-6.5</c:v>
                </c:pt>
                <c:pt idx="108">
                  <c:v>-6.5</c:v>
                </c:pt>
                <c:pt idx="109">
                  <c:v>-6.5</c:v>
                </c:pt>
                <c:pt idx="110">
                  <c:v>-6.51</c:v>
                </c:pt>
                <c:pt idx="111">
                  <c:v>-6.51</c:v>
                </c:pt>
                <c:pt idx="112">
                  <c:v>-6.51</c:v>
                </c:pt>
                <c:pt idx="113">
                  <c:v>-6.52</c:v>
                </c:pt>
                <c:pt idx="114">
                  <c:v>-6.52</c:v>
                </c:pt>
                <c:pt idx="115">
                  <c:v>-6.5</c:v>
                </c:pt>
                <c:pt idx="116">
                  <c:v>-6.54</c:v>
                </c:pt>
                <c:pt idx="117">
                  <c:v>-6.5</c:v>
                </c:pt>
                <c:pt idx="118">
                  <c:v>-6.5</c:v>
                </c:pt>
                <c:pt idx="119">
                  <c:v>-6.5</c:v>
                </c:pt>
                <c:pt idx="120">
                  <c:v>-6.54</c:v>
                </c:pt>
                <c:pt idx="121">
                  <c:v>-6.59</c:v>
                </c:pt>
                <c:pt idx="122">
                  <c:v>-6.6</c:v>
                </c:pt>
                <c:pt idx="123">
                  <c:v>-6.59</c:v>
                </c:pt>
                <c:pt idx="124">
                  <c:v>-6.59</c:v>
                </c:pt>
                <c:pt idx="125">
                  <c:v>-6.5</c:v>
                </c:pt>
                <c:pt idx="126">
                  <c:v>-6.5</c:v>
                </c:pt>
                <c:pt idx="127">
                  <c:v>-6.47</c:v>
                </c:pt>
                <c:pt idx="128">
                  <c:v>-6.45</c:v>
                </c:pt>
                <c:pt idx="129">
                  <c:v>-6.47</c:v>
                </c:pt>
                <c:pt idx="130">
                  <c:v>-6.1</c:v>
                </c:pt>
                <c:pt idx="131">
                  <c:v>-6</c:v>
                </c:pt>
                <c:pt idx="132">
                  <c:v>-6</c:v>
                </c:pt>
                <c:pt idx="133">
                  <c:v>-6</c:v>
                </c:pt>
                <c:pt idx="134">
                  <c:v>-5.99</c:v>
                </c:pt>
                <c:pt idx="135">
                  <c:v>-5.95</c:v>
                </c:pt>
                <c:pt idx="136">
                  <c:v>-5.92</c:v>
                </c:pt>
                <c:pt idx="137">
                  <c:v>-5.92</c:v>
                </c:pt>
                <c:pt idx="138">
                  <c:v>-5.92</c:v>
                </c:pt>
                <c:pt idx="139">
                  <c:v>-5.92</c:v>
                </c:pt>
                <c:pt idx="140">
                  <c:v>-5.77</c:v>
                </c:pt>
                <c:pt idx="141">
                  <c:v>-5.76</c:v>
                </c:pt>
                <c:pt idx="142">
                  <c:v>-5.76</c:v>
                </c:pt>
                <c:pt idx="143">
                  <c:v>-5.76</c:v>
                </c:pt>
                <c:pt idx="144">
                  <c:v>-5.76</c:v>
                </c:pt>
                <c:pt idx="145">
                  <c:v>-5.66</c:v>
                </c:pt>
                <c:pt idx="146">
                  <c:v>-5.66</c:v>
                </c:pt>
                <c:pt idx="147">
                  <c:v>-5.66</c:v>
                </c:pt>
                <c:pt idx="148">
                  <c:v>-5.63</c:v>
                </c:pt>
                <c:pt idx="149">
                  <c:v>-5.62</c:v>
                </c:pt>
                <c:pt idx="150">
                  <c:v>-5.62</c:v>
                </c:pt>
                <c:pt idx="151">
                  <c:v>-5.61</c:v>
                </c:pt>
                <c:pt idx="152">
                  <c:v>-5.61</c:v>
                </c:pt>
                <c:pt idx="153">
                  <c:v>-5.61</c:v>
                </c:pt>
                <c:pt idx="154">
                  <c:v>-5.61</c:v>
                </c:pt>
                <c:pt idx="155">
                  <c:v>-5.52</c:v>
                </c:pt>
                <c:pt idx="156">
                  <c:v>-5.5</c:v>
                </c:pt>
                <c:pt idx="157">
                  <c:v>-5.49</c:v>
                </c:pt>
                <c:pt idx="158">
                  <c:v>-5.49</c:v>
                </c:pt>
                <c:pt idx="159">
                  <c:v>-5.48</c:v>
                </c:pt>
                <c:pt idx="160">
                  <c:v>-5.46</c:v>
                </c:pt>
                <c:pt idx="161">
                  <c:v>-5.43</c:v>
                </c:pt>
                <c:pt idx="162">
                  <c:v>-5.4</c:v>
                </c:pt>
                <c:pt idx="163">
                  <c:v>-5.38</c:v>
                </c:pt>
                <c:pt idx="164">
                  <c:v>-5.36</c:v>
                </c:pt>
                <c:pt idx="165">
                  <c:v>-5.28</c:v>
                </c:pt>
                <c:pt idx="166">
                  <c:v>-5.2</c:v>
                </c:pt>
                <c:pt idx="167">
                  <c:v>-5.41</c:v>
                </c:pt>
                <c:pt idx="168">
                  <c:v>-5.41</c:v>
                </c:pt>
                <c:pt idx="169">
                  <c:v>-5.41</c:v>
                </c:pt>
                <c:pt idx="170">
                  <c:v>-5.31</c:v>
                </c:pt>
                <c:pt idx="171">
                  <c:v>-5.31</c:v>
                </c:pt>
                <c:pt idx="172">
                  <c:v>-5.25</c:v>
                </c:pt>
                <c:pt idx="173">
                  <c:v>-5.25</c:v>
                </c:pt>
                <c:pt idx="174">
                  <c:v>-5.1100000000000003</c:v>
                </c:pt>
                <c:pt idx="175">
                  <c:v>-5.09</c:v>
                </c:pt>
                <c:pt idx="176">
                  <c:v>-5.09</c:v>
                </c:pt>
                <c:pt idx="177">
                  <c:v>-5.09</c:v>
                </c:pt>
                <c:pt idx="178">
                  <c:v>-5.07</c:v>
                </c:pt>
                <c:pt idx="179">
                  <c:v>-5.05</c:v>
                </c:pt>
                <c:pt idx="180">
                  <c:v>-5.0199999999999996</c:v>
                </c:pt>
                <c:pt idx="181">
                  <c:v>-5.0199999999999996</c:v>
                </c:pt>
                <c:pt idx="182">
                  <c:v>-5.03</c:v>
                </c:pt>
                <c:pt idx="183">
                  <c:v>-5.03</c:v>
                </c:pt>
                <c:pt idx="184">
                  <c:v>-5.04</c:v>
                </c:pt>
                <c:pt idx="185">
                  <c:v>-5.0199999999999996</c:v>
                </c:pt>
                <c:pt idx="186">
                  <c:v>-5.0199999999999996</c:v>
                </c:pt>
                <c:pt idx="187">
                  <c:v>-5.0199999999999996</c:v>
                </c:pt>
                <c:pt idx="188">
                  <c:v>-5.01</c:v>
                </c:pt>
                <c:pt idx="189">
                  <c:v>-5.0199999999999996</c:v>
                </c:pt>
                <c:pt idx="190">
                  <c:v>-5.0199999999999996</c:v>
                </c:pt>
                <c:pt idx="191">
                  <c:v>-5.03</c:v>
                </c:pt>
                <c:pt idx="192">
                  <c:v>-5.0199999999999996</c:v>
                </c:pt>
                <c:pt idx="193">
                  <c:v>-5.0199999999999996</c:v>
                </c:pt>
                <c:pt idx="194">
                  <c:v>-5.03</c:v>
                </c:pt>
                <c:pt idx="195">
                  <c:v>-5.04</c:v>
                </c:pt>
                <c:pt idx="196">
                  <c:v>-5.01</c:v>
                </c:pt>
                <c:pt idx="197">
                  <c:v>-5.01</c:v>
                </c:pt>
                <c:pt idx="198">
                  <c:v>-5</c:v>
                </c:pt>
                <c:pt idx="199">
                  <c:v>-4.9800000000000004</c:v>
                </c:pt>
                <c:pt idx="200">
                  <c:v>-4.99</c:v>
                </c:pt>
                <c:pt idx="201">
                  <c:v>-4.93</c:v>
                </c:pt>
                <c:pt idx="202">
                  <c:v>-4.93</c:v>
                </c:pt>
                <c:pt idx="203">
                  <c:v>-4.8099999999999996</c:v>
                </c:pt>
                <c:pt idx="204">
                  <c:v>-4.82</c:v>
                </c:pt>
                <c:pt idx="205">
                  <c:v>-4.82</c:v>
                </c:pt>
                <c:pt idx="206">
                  <c:v>-4.8099999999999996</c:v>
                </c:pt>
                <c:pt idx="207">
                  <c:v>-4.8099999999999996</c:v>
                </c:pt>
                <c:pt idx="208">
                  <c:v>-4.8099999999999996</c:v>
                </c:pt>
                <c:pt idx="209">
                  <c:v>-4.8099999999999996</c:v>
                </c:pt>
                <c:pt idx="210">
                  <c:v>-4.8099999999999996</c:v>
                </c:pt>
                <c:pt idx="211">
                  <c:v>-4.8099999999999996</c:v>
                </c:pt>
                <c:pt idx="212">
                  <c:v>-4.8</c:v>
                </c:pt>
                <c:pt idx="213">
                  <c:v>-4.78</c:v>
                </c:pt>
                <c:pt idx="214">
                  <c:v>-4.7699999999999996</c:v>
                </c:pt>
                <c:pt idx="215">
                  <c:v>-4.76</c:v>
                </c:pt>
                <c:pt idx="216">
                  <c:v>-4.7300000000000004</c:v>
                </c:pt>
                <c:pt idx="217">
                  <c:v>-4.66</c:v>
                </c:pt>
                <c:pt idx="218">
                  <c:v>-4.6399999999999997</c:v>
                </c:pt>
                <c:pt idx="219">
                  <c:v>-4.5999999999999996</c:v>
                </c:pt>
                <c:pt idx="220">
                  <c:v>-4.5999999999999996</c:v>
                </c:pt>
                <c:pt idx="221">
                  <c:v>-4.57</c:v>
                </c:pt>
                <c:pt idx="222">
                  <c:v>-4.55</c:v>
                </c:pt>
                <c:pt idx="223">
                  <c:v>-4.5</c:v>
                </c:pt>
                <c:pt idx="224">
                  <c:v>-4.5</c:v>
                </c:pt>
                <c:pt idx="225">
                  <c:v>-4.5199999999999996</c:v>
                </c:pt>
                <c:pt idx="226">
                  <c:v>-4.5199999999999996</c:v>
                </c:pt>
                <c:pt idx="227">
                  <c:v>-4.5</c:v>
                </c:pt>
              </c:numCache>
            </c:numRef>
          </c:val>
          <c:smooth val="0"/>
          <c:extLst>
            <c:ext xmlns:c16="http://schemas.microsoft.com/office/drawing/2014/chart" uri="{C3380CC4-5D6E-409C-BE32-E72D297353CC}">
              <c16:uniqueId val="{00000013-DA75-486E-AAA3-1A7A3707044B}"/>
            </c:ext>
          </c:extLst>
        </c:ser>
        <c:dLbls>
          <c:showLegendKey val="0"/>
          <c:showVal val="0"/>
          <c:showCatName val="0"/>
          <c:showSerName val="0"/>
          <c:showPercent val="0"/>
          <c:showBubbleSize val="0"/>
        </c:dLbls>
        <c:smooth val="0"/>
        <c:axId val="917379631"/>
        <c:axId val="590816223"/>
      </c:lineChart>
      <c:dateAx>
        <c:axId val="917379631"/>
        <c:scaling>
          <c:orientation val="minMax"/>
        </c:scaling>
        <c:delete val="0"/>
        <c:axPos val="b"/>
        <c:numFmt formatCode="dd/mm/yy;@"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pt-BR"/>
          </a:p>
        </c:txPr>
        <c:crossAx val="590816223"/>
        <c:crosses val="autoZero"/>
        <c:auto val="1"/>
        <c:lblOffset val="100"/>
        <c:baseTimeUnit val="days"/>
      </c:dateAx>
      <c:valAx>
        <c:axId val="59081622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pt-BR"/>
          </a:p>
        </c:txPr>
        <c:crossAx val="917379631"/>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200">
                <a:solidFill>
                  <a:sysClr val="windowText" lastClr="000000"/>
                </a:solidFill>
              </a:rPr>
              <a:t>Gráfico 2: Desempenho dos Setores</a:t>
            </a:r>
            <a:r>
              <a:rPr lang="pt-BR" sz="1200" baseline="0">
                <a:solidFill>
                  <a:sysClr val="windowText" lastClr="000000"/>
                </a:solidFill>
              </a:rPr>
              <a:t> (Base 2012 = 100)</a:t>
            </a:r>
          </a:p>
          <a:p>
            <a:pPr>
              <a:defRPr/>
            </a:pPr>
            <a:r>
              <a:rPr lang="pt-BR" sz="1000" baseline="0">
                <a:solidFill>
                  <a:sysClr val="windowText" lastClr="000000"/>
                </a:solidFill>
              </a:rPr>
              <a:t>Fonte: IBGE</a:t>
            </a:r>
            <a:endParaRPr lang="pt-BR" sz="1000">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'Ind. Geral'!$B$216</c:f>
              <c:strCache>
                <c:ptCount val="1"/>
                <c:pt idx="0">
                  <c:v>Indústria</c:v>
                </c:pt>
              </c:strCache>
            </c:strRef>
          </c:tx>
          <c:spPr>
            <a:ln w="28575" cap="rnd">
              <a:solidFill>
                <a:schemeClr val="accent1"/>
              </a:solidFill>
              <a:round/>
            </a:ln>
            <a:effectLst/>
          </c:spPr>
          <c:marker>
            <c:symbol val="none"/>
          </c:marker>
          <c:cat>
            <c:numRef>
              <c:f>'Ind. Geral'!$A$217:$A$229</c:f>
              <c:numCache>
                <c:formatCode>mmm\-yy</c:formatCode>
                <c:ptCount val="13"/>
                <c:pt idx="0">
                  <c:v>43739</c:v>
                </c:pt>
                <c:pt idx="1">
                  <c:v>43770</c:v>
                </c:pt>
                <c:pt idx="2">
                  <c:v>43800</c:v>
                </c:pt>
                <c:pt idx="3">
                  <c:v>43831</c:v>
                </c:pt>
                <c:pt idx="4">
                  <c:v>43862</c:v>
                </c:pt>
                <c:pt idx="5">
                  <c:v>43891</c:v>
                </c:pt>
                <c:pt idx="6">
                  <c:v>43922</c:v>
                </c:pt>
                <c:pt idx="7">
                  <c:v>43952</c:v>
                </c:pt>
                <c:pt idx="8">
                  <c:v>43983</c:v>
                </c:pt>
                <c:pt idx="9">
                  <c:v>44013</c:v>
                </c:pt>
                <c:pt idx="10">
                  <c:v>44044</c:v>
                </c:pt>
                <c:pt idx="11">
                  <c:v>44075</c:v>
                </c:pt>
                <c:pt idx="12">
                  <c:v>44105</c:v>
                </c:pt>
              </c:numCache>
            </c:numRef>
          </c:cat>
          <c:val>
            <c:numRef>
              <c:f>'Ind. Geral'!$B$217:$B$229</c:f>
              <c:numCache>
                <c:formatCode>0.0</c:formatCode>
                <c:ptCount val="13"/>
                <c:pt idx="0">
                  <c:v>97</c:v>
                </c:pt>
                <c:pt idx="1">
                  <c:v>88</c:v>
                </c:pt>
                <c:pt idx="2">
                  <c:v>76.900000000000006</c:v>
                </c:pt>
                <c:pt idx="3">
                  <c:v>80</c:v>
                </c:pt>
                <c:pt idx="4">
                  <c:v>78.900000000000006</c:v>
                </c:pt>
                <c:pt idx="5">
                  <c:v>77.900000000000006</c:v>
                </c:pt>
                <c:pt idx="6">
                  <c:v>60.3</c:v>
                </c:pt>
                <c:pt idx="7">
                  <c:v>71.099999999999994</c:v>
                </c:pt>
                <c:pt idx="8">
                  <c:v>78.3</c:v>
                </c:pt>
                <c:pt idx="9">
                  <c:v>91</c:v>
                </c:pt>
                <c:pt idx="10">
                  <c:v>93.8</c:v>
                </c:pt>
                <c:pt idx="11">
                  <c:v>95.2</c:v>
                </c:pt>
                <c:pt idx="12">
                  <c:v>97.3</c:v>
                </c:pt>
              </c:numCache>
            </c:numRef>
          </c:val>
          <c:smooth val="0"/>
          <c:extLst>
            <c:ext xmlns:c16="http://schemas.microsoft.com/office/drawing/2014/chart" uri="{C3380CC4-5D6E-409C-BE32-E72D297353CC}">
              <c16:uniqueId val="{00000000-610F-4393-9DE4-7E45F8687580}"/>
            </c:ext>
          </c:extLst>
        </c:ser>
        <c:ser>
          <c:idx val="1"/>
          <c:order val="1"/>
          <c:tx>
            <c:strRef>
              <c:f>'Ind. Geral'!$C$216</c:f>
              <c:strCache>
                <c:ptCount val="1"/>
                <c:pt idx="0">
                  <c:v>Varejo Ampliado</c:v>
                </c:pt>
              </c:strCache>
            </c:strRef>
          </c:tx>
          <c:spPr>
            <a:ln w="28575" cap="rnd">
              <a:solidFill>
                <a:schemeClr val="accent2"/>
              </a:solidFill>
              <a:round/>
            </a:ln>
            <a:effectLst/>
          </c:spPr>
          <c:marker>
            <c:symbol val="none"/>
          </c:marker>
          <c:cat>
            <c:numRef>
              <c:f>'Ind. Geral'!$A$217:$A$229</c:f>
              <c:numCache>
                <c:formatCode>mmm\-yy</c:formatCode>
                <c:ptCount val="13"/>
                <c:pt idx="0">
                  <c:v>43739</c:v>
                </c:pt>
                <c:pt idx="1">
                  <c:v>43770</c:v>
                </c:pt>
                <c:pt idx="2">
                  <c:v>43800</c:v>
                </c:pt>
                <c:pt idx="3">
                  <c:v>43831</c:v>
                </c:pt>
                <c:pt idx="4">
                  <c:v>43862</c:v>
                </c:pt>
                <c:pt idx="5">
                  <c:v>43891</c:v>
                </c:pt>
                <c:pt idx="6">
                  <c:v>43922</c:v>
                </c:pt>
                <c:pt idx="7">
                  <c:v>43952</c:v>
                </c:pt>
                <c:pt idx="8">
                  <c:v>43983</c:v>
                </c:pt>
                <c:pt idx="9">
                  <c:v>44013</c:v>
                </c:pt>
                <c:pt idx="10">
                  <c:v>44044</c:v>
                </c:pt>
                <c:pt idx="11">
                  <c:v>44075</c:v>
                </c:pt>
                <c:pt idx="12">
                  <c:v>44105</c:v>
                </c:pt>
              </c:numCache>
            </c:numRef>
          </c:cat>
          <c:val>
            <c:numRef>
              <c:f>'Ind. Geral'!$C$217:$C$229</c:f>
              <c:numCache>
                <c:formatCode>0.00</c:formatCode>
                <c:ptCount val="13"/>
                <c:pt idx="0">
                  <c:v>96.8</c:v>
                </c:pt>
                <c:pt idx="1">
                  <c:v>96.4</c:v>
                </c:pt>
                <c:pt idx="2">
                  <c:v>95.9</c:v>
                </c:pt>
                <c:pt idx="3">
                  <c:v>96.9</c:v>
                </c:pt>
                <c:pt idx="4">
                  <c:v>97.8</c:v>
                </c:pt>
                <c:pt idx="5">
                  <c:v>83.9</c:v>
                </c:pt>
                <c:pt idx="6">
                  <c:v>69</c:v>
                </c:pt>
                <c:pt idx="7">
                  <c:v>79.900000000000006</c:v>
                </c:pt>
                <c:pt idx="8">
                  <c:v>89.1</c:v>
                </c:pt>
                <c:pt idx="9">
                  <c:v>95.5</c:v>
                </c:pt>
                <c:pt idx="10">
                  <c:v>99.4</c:v>
                </c:pt>
                <c:pt idx="11">
                  <c:v>100.6</c:v>
                </c:pt>
              </c:numCache>
            </c:numRef>
          </c:val>
          <c:smooth val="0"/>
          <c:extLst>
            <c:ext xmlns:c16="http://schemas.microsoft.com/office/drawing/2014/chart" uri="{C3380CC4-5D6E-409C-BE32-E72D297353CC}">
              <c16:uniqueId val="{00000001-610F-4393-9DE4-7E45F8687580}"/>
            </c:ext>
          </c:extLst>
        </c:ser>
        <c:ser>
          <c:idx val="2"/>
          <c:order val="2"/>
          <c:tx>
            <c:strRef>
              <c:f>'Ind. Geral'!$D$216</c:f>
              <c:strCache>
                <c:ptCount val="1"/>
                <c:pt idx="0">
                  <c:v>Serviços</c:v>
                </c:pt>
              </c:strCache>
            </c:strRef>
          </c:tx>
          <c:spPr>
            <a:ln w="28575" cap="rnd">
              <a:solidFill>
                <a:schemeClr val="accent3"/>
              </a:solidFill>
              <a:round/>
            </a:ln>
            <a:effectLst/>
          </c:spPr>
          <c:marker>
            <c:symbol val="none"/>
          </c:marker>
          <c:cat>
            <c:numRef>
              <c:f>'Ind. Geral'!$A$217:$A$229</c:f>
              <c:numCache>
                <c:formatCode>mmm\-yy</c:formatCode>
                <c:ptCount val="13"/>
                <c:pt idx="0">
                  <c:v>43739</c:v>
                </c:pt>
                <c:pt idx="1">
                  <c:v>43770</c:v>
                </c:pt>
                <c:pt idx="2">
                  <c:v>43800</c:v>
                </c:pt>
                <c:pt idx="3">
                  <c:v>43831</c:v>
                </c:pt>
                <c:pt idx="4">
                  <c:v>43862</c:v>
                </c:pt>
                <c:pt idx="5">
                  <c:v>43891</c:v>
                </c:pt>
                <c:pt idx="6">
                  <c:v>43922</c:v>
                </c:pt>
                <c:pt idx="7">
                  <c:v>43952</c:v>
                </c:pt>
                <c:pt idx="8">
                  <c:v>43983</c:v>
                </c:pt>
                <c:pt idx="9">
                  <c:v>44013</c:v>
                </c:pt>
                <c:pt idx="10">
                  <c:v>44044</c:v>
                </c:pt>
                <c:pt idx="11">
                  <c:v>44075</c:v>
                </c:pt>
                <c:pt idx="12">
                  <c:v>44105</c:v>
                </c:pt>
              </c:numCache>
            </c:numRef>
          </c:cat>
          <c:val>
            <c:numRef>
              <c:f>'Ind. Geral'!$D$217:$D$229</c:f>
              <c:numCache>
                <c:formatCode>0.0</c:formatCode>
                <c:ptCount val="13"/>
                <c:pt idx="0">
                  <c:v>92.9</c:v>
                </c:pt>
                <c:pt idx="1">
                  <c:v>91.3</c:v>
                </c:pt>
                <c:pt idx="2">
                  <c:v>91</c:v>
                </c:pt>
                <c:pt idx="3">
                  <c:v>91.4</c:v>
                </c:pt>
                <c:pt idx="4">
                  <c:v>90.9</c:v>
                </c:pt>
                <c:pt idx="5">
                  <c:v>62.2</c:v>
                </c:pt>
                <c:pt idx="6">
                  <c:v>34.1</c:v>
                </c:pt>
                <c:pt idx="7">
                  <c:v>38.9</c:v>
                </c:pt>
                <c:pt idx="8">
                  <c:v>44.6</c:v>
                </c:pt>
                <c:pt idx="9">
                  <c:v>39.6</c:v>
                </c:pt>
                <c:pt idx="10">
                  <c:v>53.5</c:v>
                </c:pt>
                <c:pt idx="11">
                  <c:v>58.3</c:v>
                </c:pt>
              </c:numCache>
            </c:numRef>
          </c:val>
          <c:smooth val="0"/>
          <c:extLst>
            <c:ext xmlns:c16="http://schemas.microsoft.com/office/drawing/2014/chart" uri="{C3380CC4-5D6E-409C-BE32-E72D297353CC}">
              <c16:uniqueId val="{00000002-610F-4393-9DE4-7E45F8687580}"/>
            </c:ext>
          </c:extLst>
        </c:ser>
        <c:dLbls>
          <c:showLegendKey val="0"/>
          <c:showVal val="0"/>
          <c:showCatName val="0"/>
          <c:showSerName val="0"/>
          <c:showPercent val="0"/>
          <c:showBubbleSize val="0"/>
        </c:dLbls>
        <c:smooth val="0"/>
        <c:axId val="677507247"/>
        <c:axId val="590832863"/>
      </c:lineChart>
      <c:dateAx>
        <c:axId val="677507247"/>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crossAx val="590832863"/>
        <c:crosses val="autoZero"/>
        <c:auto val="1"/>
        <c:lblOffset val="100"/>
        <c:baseTimeUnit val="months"/>
      </c:dateAx>
      <c:valAx>
        <c:axId val="590832863"/>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crossAx val="67750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legend>
    <c:plotVisOnly val="1"/>
    <c:dispBlanksAs val="gap"/>
    <c:showDLblsOverMax val="0"/>
  </c:chart>
  <c:spPr>
    <a:noFill/>
    <a:ln w="9525" cap="flat" cmpd="sng" algn="ctr">
      <a:no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200">
                <a:solidFill>
                  <a:sysClr val="windowText" lastClr="000000"/>
                </a:solidFill>
              </a:rPr>
              <a:t>Gráfico 4: Média Móvel de 7 dias de Casos Diários </a:t>
            </a:r>
          </a:p>
          <a:p>
            <a:pPr>
              <a:defRPr/>
            </a:pPr>
            <a:r>
              <a:rPr lang="pt-BR" sz="1000">
                <a:solidFill>
                  <a:sysClr val="windowText" lastClr="000000"/>
                </a:solidFill>
              </a:rPr>
              <a:t>Fonte</a:t>
            </a:r>
            <a:r>
              <a:rPr lang="pt-BR" sz="1000" baseline="0">
                <a:solidFill>
                  <a:sysClr val="windowText" lastClr="000000"/>
                </a:solidFill>
              </a:rPr>
              <a:t>: Ministério da Saúde</a:t>
            </a:r>
            <a:endParaRPr lang="pt-BR" sz="1000">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'Casos (Ministério da Saúde)'!$D$201:$D$208</c:f>
              <c:strCache>
                <c:ptCount val="8"/>
                <c:pt idx="0">
                  <c:v>Média móvel de 7 dias de casos diários (dir.)</c:v>
                </c:pt>
              </c:strCache>
            </c:strRef>
          </c:tx>
          <c:spPr>
            <a:ln w="28575" cap="rnd">
              <a:solidFill>
                <a:schemeClr val="accent1"/>
              </a:solidFill>
              <a:round/>
            </a:ln>
            <a:effectLst/>
          </c:spPr>
          <c:marker>
            <c:symbol val="none"/>
          </c:marker>
          <c:cat>
            <c:numRef>
              <c:f>'Casos (Ministério da Saúde)'!$A$209:$A$292</c:f>
              <c:numCache>
                <c:formatCode>m/d/yyyy</c:formatCode>
                <c:ptCount val="84"/>
                <c:pt idx="0">
                  <c:v>44082</c:v>
                </c:pt>
                <c:pt idx="1">
                  <c:v>44083</c:v>
                </c:pt>
                <c:pt idx="2">
                  <c:v>44084</c:v>
                </c:pt>
                <c:pt idx="3">
                  <c:v>44085</c:v>
                </c:pt>
                <c:pt idx="4">
                  <c:v>44086</c:v>
                </c:pt>
                <c:pt idx="5">
                  <c:v>44087</c:v>
                </c:pt>
                <c:pt idx="6">
                  <c:v>44088</c:v>
                </c:pt>
                <c:pt idx="7">
                  <c:v>44089</c:v>
                </c:pt>
                <c:pt idx="8">
                  <c:v>44090</c:v>
                </c:pt>
                <c:pt idx="9">
                  <c:v>44091</c:v>
                </c:pt>
                <c:pt idx="10">
                  <c:v>44092</c:v>
                </c:pt>
                <c:pt idx="11">
                  <c:v>44093</c:v>
                </c:pt>
                <c:pt idx="12">
                  <c:v>44094</c:v>
                </c:pt>
                <c:pt idx="13">
                  <c:v>44095</c:v>
                </c:pt>
                <c:pt idx="14">
                  <c:v>44096</c:v>
                </c:pt>
                <c:pt idx="15">
                  <c:v>44097</c:v>
                </c:pt>
                <c:pt idx="16">
                  <c:v>44098</c:v>
                </c:pt>
                <c:pt idx="17">
                  <c:v>44099</c:v>
                </c:pt>
                <c:pt idx="18">
                  <c:v>44100</c:v>
                </c:pt>
                <c:pt idx="19">
                  <c:v>44101</c:v>
                </c:pt>
                <c:pt idx="20">
                  <c:v>44102</c:v>
                </c:pt>
                <c:pt idx="21">
                  <c:v>44103</c:v>
                </c:pt>
                <c:pt idx="22">
                  <c:v>44104</c:v>
                </c:pt>
                <c:pt idx="23">
                  <c:v>44105</c:v>
                </c:pt>
                <c:pt idx="24">
                  <c:v>44106</c:v>
                </c:pt>
                <c:pt idx="25">
                  <c:v>44107</c:v>
                </c:pt>
                <c:pt idx="26">
                  <c:v>44108</c:v>
                </c:pt>
                <c:pt idx="27">
                  <c:v>44109</c:v>
                </c:pt>
                <c:pt idx="28">
                  <c:v>44110</c:v>
                </c:pt>
                <c:pt idx="29">
                  <c:v>44111</c:v>
                </c:pt>
                <c:pt idx="30">
                  <c:v>44112</c:v>
                </c:pt>
                <c:pt idx="31">
                  <c:v>44113</c:v>
                </c:pt>
                <c:pt idx="32">
                  <c:v>44114</c:v>
                </c:pt>
                <c:pt idx="33">
                  <c:v>44115</c:v>
                </c:pt>
                <c:pt idx="34">
                  <c:v>44116</c:v>
                </c:pt>
                <c:pt idx="35">
                  <c:v>44117</c:v>
                </c:pt>
                <c:pt idx="36">
                  <c:v>44118</c:v>
                </c:pt>
                <c:pt idx="37">
                  <c:v>44119</c:v>
                </c:pt>
                <c:pt idx="38">
                  <c:v>44120</c:v>
                </c:pt>
                <c:pt idx="39">
                  <c:v>44121</c:v>
                </c:pt>
                <c:pt idx="40">
                  <c:v>44122</c:v>
                </c:pt>
                <c:pt idx="41">
                  <c:v>44123</c:v>
                </c:pt>
                <c:pt idx="42">
                  <c:v>44124</c:v>
                </c:pt>
                <c:pt idx="43">
                  <c:v>44125</c:v>
                </c:pt>
                <c:pt idx="44">
                  <c:v>44126</c:v>
                </c:pt>
                <c:pt idx="45">
                  <c:v>44127</c:v>
                </c:pt>
                <c:pt idx="46">
                  <c:v>44128</c:v>
                </c:pt>
                <c:pt idx="47">
                  <c:v>44129</c:v>
                </c:pt>
                <c:pt idx="48">
                  <c:v>44130</c:v>
                </c:pt>
                <c:pt idx="49">
                  <c:v>44131</c:v>
                </c:pt>
                <c:pt idx="50">
                  <c:v>44132</c:v>
                </c:pt>
                <c:pt idx="51">
                  <c:v>44133</c:v>
                </c:pt>
                <c:pt idx="52">
                  <c:v>44134</c:v>
                </c:pt>
                <c:pt idx="53">
                  <c:v>44135</c:v>
                </c:pt>
                <c:pt idx="54">
                  <c:v>44136</c:v>
                </c:pt>
                <c:pt idx="55">
                  <c:v>44137</c:v>
                </c:pt>
                <c:pt idx="56">
                  <c:v>44138</c:v>
                </c:pt>
                <c:pt idx="57">
                  <c:v>44139</c:v>
                </c:pt>
                <c:pt idx="58">
                  <c:v>44140</c:v>
                </c:pt>
                <c:pt idx="59">
                  <c:v>44141</c:v>
                </c:pt>
                <c:pt idx="60">
                  <c:v>44142</c:v>
                </c:pt>
                <c:pt idx="61">
                  <c:v>44143</c:v>
                </c:pt>
                <c:pt idx="62">
                  <c:v>44144</c:v>
                </c:pt>
                <c:pt idx="63">
                  <c:v>44145</c:v>
                </c:pt>
                <c:pt idx="64">
                  <c:v>44146</c:v>
                </c:pt>
                <c:pt idx="65">
                  <c:v>44147</c:v>
                </c:pt>
                <c:pt idx="66">
                  <c:v>44148</c:v>
                </c:pt>
                <c:pt idx="67">
                  <c:v>44149</c:v>
                </c:pt>
                <c:pt idx="68">
                  <c:v>44150</c:v>
                </c:pt>
                <c:pt idx="69">
                  <c:v>44151</c:v>
                </c:pt>
                <c:pt idx="70">
                  <c:v>44152</c:v>
                </c:pt>
                <c:pt idx="71">
                  <c:v>44153</c:v>
                </c:pt>
                <c:pt idx="72">
                  <c:v>44154</c:v>
                </c:pt>
                <c:pt idx="73">
                  <c:v>44155</c:v>
                </c:pt>
                <c:pt idx="74">
                  <c:v>44156</c:v>
                </c:pt>
                <c:pt idx="75">
                  <c:v>44157</c:v>
                </c:pt>
                <c:pt idx="76">
                  <c:v>44158</c:v>
                </c:pt>
                <c:pt idx="77">
                  <c:v>44159</c:v>
                </c:pt>
                <c:pt idx="78">
                  <c:v>44160</c:v>
                </c:pt>
                <c:pt idx="79">
                  <c:v>44161</c:v>
                </c:pt>
                <c:pt idx="80">
                  <c:v>44162</c:v>
                </c:pt>
                <c:pt idx="81">
                  <c:v>44163</c:v>
                </c:pt>
                <c:pt idx="82">
                  <c:v>44164</c:v>
                </c:pt>
                <c:pt idx="83">
                  <c:v>44165</c:v>
                </c:pt>
              </c:numCache>
            </c:numRef>
          </c:cat>
          <c:val>
            <c:numRef>
              <c:f>'Casos (Ministério da Saúde)'!$D$209:$D$292</c:f>
              <c:numCache>
                <c:formatCode>0</c:formatCode>
                <c:ptCount val="84"/>
                <c:pt idx="0">
                  <c:v>30163.142857142859</c:v>
                </c:pt>
                <c:pt idx="1">
                  <c:v>28574.857142857141</c:v>
                </c:pt>
                <c:pt idx="2">
                  <c:v>28115.428571428572</c:v>
                </c:pt>
                <c:pt idx="3">
                  <c:v>27047.428571428572</c:v>
                </c:pt>
                <c:pt idx="4">
                  <c:v>27526.714285714286</c:v>
                </c:pt>
                <c:pt idx="5">
                  <c:v>27562</c:v>
                </c:pt>
                <c:pt idx="6">
                  <c:v>28259.428571428572</c:v>
                </c:pt>
                <c:pt idx="7">
                  <c:v>31455.714285714286</c:v>
                </c:pt>
                <c:pt idx="8">
                  <c:v>31599.142857142859</c:v>
                </c:pt>
                <c:pt idx="9">
                  <c:v>30991.428571428572</c:v>
                </c:pt>
                <c:pt idx="10">
                  <c:v>30431.285714285714</c:v>
                </c:pt>
                <c:pt idx="11">
                  <c:v>30364.714285714286</c:v>
                </c:pt>
                <c:pt idx="12">
                  <c:v>30596.285714285714</c:v>
                </c:pt>
                <c:pt idx="13">
                  <c:v>30351.142857142859</c:v>
                </c:pt>
                <c:pt idx="14">
                  <c:v>29905.857142857141</c:v>
                </c:pt>
                <c:pt idx="15">
                  <c:v>29400.285714285714</c:v>
                </c:pt>
                <c:pt idx="16">
                  <c:v>28902.285714285714</c:v>
                </c:pt>
                <c:pt idx="17">
                  <c:v>27775.714285714286</c:v>
                </c:pt>
                <c:pt idx="18">
                  <c:v>27107.285714285714</c:v>
                </c:pt>
                <c:pt idx="19">
                  <c:v>26811.428571428572</c:v>
                </c:pt>
                <c:pt idx="20">
                  <c:v>26770.857142857141</c:v>
                </c:pt>
                <c:pt idx="21">
                  <c:v>26559.714285714286</c:v>
                </c:pt>
                <c:pt idx="22">
                  <c:v>26578.571428571428</c:v>
                </c:pt>
                <c:pt idx="23">
                  <c:v>27055.714285714286</c:v>
                </c:pt>
                <c:pt idx="24">
                  <c:v>27272.857142857141</c:v>
                </c:pt>
                <c:pt idx="25">
                  <c:v>26977.428571428572</c:v>
                </c:pt>
                <c:pt idx="26">
                  <c:v>26140</c:v>
                </c:pt>
                <c:pt idx="27">
                  <c:v>25967.285714285714</c:v>
                </c:pt>
                <c:pt idx="28">
                  <c:v>27374.142857142859</c:v>
                </c:pt>
                <c:pt idx="29">
                  <c:v>27108.428571428572</c:v>
                </c:pt>
                <c:pt idx="30">
                  <c:v>25907.428571428572</c:v>
                </c:pt>
                <c:pt idx="31">
                  <c:v>25052.142857142859</c:v>
                </c:pt>
                <c:pt idx="32">
                  <c:v>25114.857142857141</c:v>
                </c:pt>
                <c:pt idx="33">
                  <c:v>25670</c:v>
                </c:pt>
                <c:pt idx="34">
                  <c:v>25167.571428571428</c:v>
                </c:pt>
                <c:pt idx="35">
                  <c:v>20641</c:v>
                </c:pt>
                <c:pt idx="36">
                  <c:v>20024.142857142859</c:v>
                </c:pt>
                <c:pt idx="37">
                  <c:v>20134.571428571428</c:v>
                </c:pt>
                <c:pt idx="38">
                  <c:v>20630.285714285714</c:v>
                </c:pt>
                <c:pt idx="39">
                  <c:v>20246.428571428572</c:v>
                </c:pt>
                <c:pt idx="40">
                  <c:v>20052.142857142859</c:v>
                </c:pt>
                <c:pt idx="41">
                  <c:v>21045.571428571428</c:v>
                </c:pt>
                <c:pt idx="42">
                  <c:v>22903.714285714286</c:v>
                </c:pt>
                <c:pt idx="43">
                  <c:v>22558.428571428572</c:v>
                </c:pt>
                <c:pt idx="44">
                  <c:v>22034.857142857141</c:v>
                </c:pt>
                <c:pt idx="45">
                  <c:v>21908</c:v>
                </c:pt>
                <c:pt idx="46">
                  <c:v>22324.714285714286</c:v>
                </c:pt>
                <c:pt idx="47">
                  <c:v>22683.428571428572</c:v>
                </c:pt>
                <c:pt idx="48">
                  <c:v>22732.428571428572</c:v>
                </c:pt>
                <c:pt idx="49">
                  <c:v>23669.571428571428</c:v>
                </c:pt>
                <c:pt idx="50">
                  <c:v>24214</c:v>
                </c:pt>
                <c:pt idx="51">
                  <c:v>24392.285714285714</c:v>
                </c:pt>
                <c:pt idx="52">
                  <c:v>23286</c:v>
                </c:pt>
                <c:pt idx="53">
                  <c:v>22138.571428571428</c:v>
                </c:pt>
                <c:pt idx="54">
                  <c:v>21653.857142857141</c:v>
                </c:pt>
                <c:pt idx="55">
                  <c:v>20621.714285714286</c:v>
                </c:pt>
                <c:pt idx="56">
                  <c:v>18058.285714285714</c:v>
                </c:pt>
                <c:pt idx="57">
                  <c:v>17393.571428571428</c:v>
                </c:pt>
                <c:pt idx="58">
                  <c:v>16849</c:v>
                </c:pt>
                <c:pt idx="59">
                  <c:v>16727</c:v>
                </c:pt>
                <c:pt idx="60">
                  <c:v>16850.857142857141</c:v>
                </c:pt>
                <c:pt idx="61">
                  <c:v>16915.714285714286</c:v>
                </c:pt>
                <c:pt idx="62">
                  <c:v>17260.857142857141</c:v>
                </c:pt>
                <c:pt idx="63">
                  <c:v>19142.142857142859</c:v>
                </c:pt>
                <c:pt idx="64">
                  <c:v>22621.428571428572</c:v>
                </c:pt>
                <c:pt idx="65">
                  <c:v>24180.428571428572</c:v>
                </c:pt>
                <c:pt idx="66">
                  <c:v>25272.142857142859</c:v>
                </c:pt>
                <c:pt idx="67">
                  <c:v>27914</c:v>
                </c:pt>
                <c:pt idx="68">
                  <c:v>28425.428571428572</c:v>
                </c:pt>
                <c:pt idx="69">
                  <c:v>28776</c:v>
                </c:pt>
                <c:pt idx="70">
                  <c:v>30244.857142857141</c:v>
                </c:pt>
                <c:pt idx="71">
                  <c:v>28210.571428571428</c:v>
                </c:pt>
                <c:pt idx="72">
                  <c:v>28597.857142857141</c:v>
                </c:pt>
                <c:pt idx="73">
                  <c:v>29930.285714285714</c:v>
                </c:pt>
                <c:pt idx="74">
                  <c:v>29118.142857142859</c:v>
                </c:pt>
                <c:pt idx="75">
                  <c:v>29758.285714285714</c:v>
                </c:pt>
                <c:pt idx="76">
                  <c:v>30163.428571428572</c:v>
                </c:pt>
                <c:pt idx="77">
                  <c:v>29564.285714285714</c:v>
                </c:pt>
                <c:pt idx="78">
                  <c:v>31536.714285714286</c:v>
                </c:pt>
                <c:pt idx="79">
                  <c:v>31779</c:v>
                </c:pt>
                <c:pt idx="80">
                  <c:v>31169.428571428572</c:v>
                </c:pt>
                <c:pt idx="81">
                  <c:v>33926.571428571428</c:v>
                </c:pt>
                <c:pt idx="82">
                  <c:v>34762.714285714283</c:v>
                </c:pt>
                <c:pt idx="83">
                  <c:v>35467.142857142855</c:v>
                </c:pt>
              </c:numCache>
            </c:numRef>
          </c:val>
          <c:smooth val="0"/>
          <c:extLst>
            <c:ext xmlns:c16="http://schemas.microsoft.com/office/drawing/2014/chart" uri="{C3380CC4-5D6E-409C-BE32-E72D297353CC}">
              <c16:uniqueId val="{00000000-F880-4414-A30A-124FAB0E88C7}"/>
            </c:ext>
          </c:extLst>
        </c:ser>
        <c:dLbls>
          <c:showLegendKey val="0"/>
          <c:showVal val="0"/>
          <c:showCatName val="0"/>
          <c:showSerName val="0"/>
          <c:showPercent val="0"/>
          <c:showBubbleSize val="0"/>
        </c:dLbls>
        <c:smooth val="0"/>
        <c:axId val="917344831"/>
        <c:axId val="590828287"/>
      </c:lineChart>
      <c:dateAx>
        <c:axId val="917344831"/>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mn-lt"/>
                <a:ea typeface="+mn-ea"/>
                <a:cs typeface="+mn-cs"/>
              </a:defRPr>
            </a:pPr>
            <a:endParaRPr lang="pt-BR"/>
          </a:p>
        </c:txPr>
        <c:crossAx val="590828287"/>
        <c:crosses val="autoZero"/>
        <c:auto val="1"/>
        <c:lblOffset val="100"/>
        <c:baseTimeUnit val="days"/>
      </c:dateAx>
      <c:valAx>
        <c:axId val="59082828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ysClr val="windowText" lastClr="000000"/>
                </a:solidFill>
                <a:latin typeface="+mn-lt"/>
                <a:ea typeface="+mn-ea"/>
                <a:cs typeface="+mn-cs"/>
              </a:defRPr>
            </a:pPr>
            <a:endParaRPr lang="pt-BR"/>
          </a:p>
        </c:txPr>
        <c:crossAx val="917344831"/>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200">
                <a:solidFill>
                  <a:sysClr val="windowText" lastClr="000000"/>
                </a:solidFill>
              </a:rPr>
              <a:t>Gráfico 5: Dinâmica</a:t>
            </a:r>
            <a:r>
              <a:rPr lang="pt-BR" sz="1200" baseline="0">
                <a:solidFill>
                  <a:sysClr val="windowText" lastClr="000000"/>
                </a:solidFill>
              </a:rPr>
              <a:t> do Mercado de Trabalho </a:t>
            </a:r>
          </a:p>
          <a:p>
            <a:pPr>
              <a:defRPr/>
            </a:pPr>
            <a:r>
              <a:rPr lang="pt-BR" sz="1000" baseline="0">
                <a:solidFill>
                  <a:sysClr val="windowText" lastClr="000000"/>
                </a:solidFill>
              </a:rPr>
              <a:t>Fonte: IBGE</a:t>
            </a:r>
            <a:endParaRPr lang="pt-BR" sz="1000">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Ocupação!$H$95</c:f>
              <c:strCache>
                <c:ptCount val="1"/>
                <c:pt idx="0">
                  <c:v>Taxa de Partipação (%, dir.)</c:v>
                </c:pt>
              </c:strCache>
            </c:strRef>
          </c:tx>
          <c:spPr>
            <a:solidFill>
              <a:schemeClr val="accent1"/>
            </a:solidFill>
            <a:ln>
              <a:noFill/>
            </a:ln>
            <a:effectLst/>
          </c:spPr>
          <c:invertIfNegative val="0"/>
          <c:cat>
            <c:strRef>
              <c:f>Ocupação!$A$96:$A$107</c:f>
              <c:strCache>
                <c:ptCount val="12"/>
                <c:pt idx="0">
                  <c:v>ago-out/19</c:v>
                </c:pt>
                <c:pt idx="1">
                  <c:v>set-nov/19</c:v>
                </c:pt>
                <c:pt idx="2">
                  <c:v>out-dez/19</c:v>
                </c:pt>
                <c:pt idx="3">
                  <c:v>nov-jan/20</c:v>
                </c:pt>
                <c:pt idx="4">
                  <c:v>dez-fev/20</c:v>
                </c:pt>
                <c:pt idx="5">
                  <c:v>jan-mar/20</c:v>
                </c:pt>
                <c:pt idx="6">
                  <c:v>fev-abr/20</c:v>
                </c:pt>
                <c:pt idx="7">
                  <c:v>mar-mai/20</c:v>
                </c:pt>
                <c:pt idx="8">
                  <c:v>abr-jun/20</c:v>
                </c:pt>
                <c:pt idx="9">
                  <c:v>mai-jul/20</c:v>
                </c:pt>
                <c:pt idx="10">
                  <c:v>jun-ago/20</c:v>
                </c:pt>
                <c:pt idx="11">
                  <c:v>jul-set/20</c:v>
                </c:pt>
              </c:strCache>
            </c:strRef>
          </c:cat>
          <c:val>
            <c:numRef>
              <c:f>Ocupação!$H$96:$H$107</c:f>
              <c:numCache>
                <c:formatCode>#,##0.0</c:formatCode>
                <c:ptCount val="12"/>
                <c:pt idx="0">
                  <c:v>62.1324023096549</c:v>
                </c:pt>
                <c:pt idx="1">
                  <c:v>62.006055974002486</c:v>
                </c:pt>
                <c:pt idx="2">
                  <c:v>61.874100446935842</c:v>
                </c:pt>
                <c:pt idx="3">
                  <c:v>61.738204170013624</c:v>
                </c:pt>
                <c:pt idx="4">
                  <c:v>61.662083040194425</c:v>
                </c:pt>
                <c:pt idx="5">
                  <c:v>60.963482135604629</c:v>
                </c:pt>
                <c:pt idx="6">
                  <c:v>58.997097896842376</c:v>
                </c:pt>
                <c:pt idx="7">
                  <c:v>56.820459650941771</c:v>
                </c:pt>
                <c:pt idx="8">
                  <c:v>55.277774583424375</c:v>
                </c:pt>
                <c:pt idx="9">
                  <c:v>54.652698806529052</c:v>
                </c:pt>
                <c:pt idx="10">
                  <c:v>54.673539518900341</c:v>
                </c:pt>
                <c:pt idx="11">
                  <c:v>55.136734029613812</c:v>
                </c:pt>
              </c:numCache>
            </c:numRef>
          </c:val>
          <c:extLst>
            <c:ext xmlns:c16="http://schemas.microsoft.com/office/drawing/2014/chart" uri="{C3380CC4-5D6E-409C-BE32-E72D297353CC}">
              <c16:uniqueId val="{00000000-56B6-4B2F-A178-CADE7ABC8B54}"/>
            </c:ext>
          </c:extLst>
        </c:ser>
        <c:dLbls>
          <c:showLegendKey val="0"/>
          <c:showVal val="0"/>
          <c:showCatName val="0"/>
          <c:showSerName val="0"/>
          <c:showPercent val="0"/>
          <c:showBubbleSize val="0"/>
        </c:dLbls>
        <c:gapWidth val="150"/>
        <c:axId val="917372031"/>
        <c:axId val="748940751"/>
      </c:barChart>
      <c:lineChart>
        <c:grouping val="standard"/>
        <c:varyColors val="0"/>
        <c:ser>
          <c:idx val="1"/>
          <c:order val="1"/>
          <c:tx>
            <c:strRef>
              <c:f>Ocupação!$I$95</c:f>
              <c:strCache>
                <c:ptCount val="1"/>
                <c:pt idx="0">
                  <c:v>Taxa de Desocupação (%)</c:v>
                </c:pt>
              </c:strCache>
            </c:strRef>
          </c:tx>
          <c:spPr>
            <a:ln w="28575" cap="rnd">
              <a:solidFill>
                <a:schemeClr val="accent2"/>
              </a:solidFill>
              <a:round/>
            </a:ln>
            <a:effectLst/>
          </c:spPr>
          <c:marker>
            <c:symbol val="none"/>
          </c:marker>
          <c:cat>
            <c:strRef>
              <c:f>Ocupação!$A$96:$A$107</c:f>
              <c:strCache>
                <c:ptCount val="12"/>
                <c:pt idx="0">
                  <c:v>ago-out/19</c:v>
                </c:pt>
                <c:pt idx="1">
                  <c:v>set-nov/19</c:v>
                </c:pt>
                <c:pt idx="2">
                  <c:v>out-dez/19</c:v>
                </c:pt>
                <c:pt idx="3">
                  <c:v>nov-jan/20</c:v>
                </c:pt>
                <c:pt idx="4">
                  <c:v>dez-fev/20</c:v>
                </c:pt>
                <c:pt idx="5">
                  <c:v>jan-mar/20</c:v>
                </c:pt>
                <c:pt idx="6">
                  <c:v>fev-abr/20</c:v>
                </c:pt>
                <c:pt idx="7">
                  <c:v>mar-mai/20</c:v>
                </c:pt>
                <c:pt idx="8">
                  <c:v>abr-jun/20</c:v>
                </c:pt>
                <c:pt idx="9">
                  <c:v>mai-jul/20</c:v>
                </c:pt>
                <c:pt idx="10">
                  <c:v>jun-ago/20</c:v>
                </c:pt>
                <c:pt idx="11">
                  <c:v>jul-set/20</c:v>
                </c:pt>
              </c:strCache>
            </c:strRef>
          </c:cat>
          <c:val>
            <c:numRef>
              <c:f>Ocupação!$I$96:$I$107</c:f>
              <c:numCache>
                <c:formatCode>#,##0.0</c:formatCode>
                <c:ptCount val="12"/>
                <c:pt idx="0">
                  <c:v>11.619887052367483</c:v>
                </c:pt>
                <c:pt idx="1">
                  <c:v>11.162129865730765</c:v>
                </c:pt>
                <c:pt idx="2">
                  <c:v>10.954569426655617</c:v>
                </c:pt>
                <c:pt idx="3">
                  <c:v>11.232734643850469</c:v>
                </c:pt>
                <c:pt idx="4">
                  <c:v>11.637687172330555</c:v>
                </c:pt>
                <c:pt idx="5">
                  <c:v>12.229592759319711</c:v>
                </c:pt>
                <c:pt idx="6">
                  <c:v>12.5534041469055</c:v>
                </c:pt>
                <c:pt idx="7">
                  <c:v>12.884455527847049</c:v>
                </c:pt>
                <c:pt idx="8">
                  <c:v>13.304832636418482</c:v>
                </c:pt>
                <c:pt idx="9">
                  <c:v>13.79915508943021</c:v>
                </c:pt>
                <c:pt idx="10">
                  <c:v>14.450031426775615</c:v>
                </c:pt>
                <c:pt idx="11">
                  <c:v>14.594639380256016</c:v>
                </c:pt>
              </c:numCache>
            </c:numRef>
          </c:val>
          <c:smooth val="0"/>
          <c:extLst>
            <c:ext xmlns:c16="http://schemas.microsoft.com/office/drawing/2014/chart" uri="{C3380CC4-5D6E-409C-BE32-E72D297353CC}">
              <c16:uniqueId val="{00000001-56B6-4B2F-A178-CADE7ABC8B54}"/>
            </c:ext>
          </c:extLst>
        </c:ser>
        <c:dLbls>
          <c:showLegendKey val="0"/>
          <c:showVal val="0"/>
          <c:showCatName val="0"/>
          <c:showSerName val="0"/>
          <c:showPercent val="0"/>
          <c:showBubbleSize val="0"/>
        </c:dLbls>
        <c:marker val="1"/>
        <c:smooth val="0"/>
        <c:axId val="584096015"/>
        <c:axId val="748882927"/>
      </c:lineChart>
      <c:catAx>
        <c:axId val="584096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crossAx val="748882927"/>
        <c:crosses val="autoZero"/>
        <c:auto val="1"/>
        <c:lblAlgn val="ctr"/>
        <c:lblOffset val="100"/>
        <c:noMultiLvlLbl val="0"/>
      </c:catAx>
      <c:valAx>
        <c:axId val="74888292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crossAx val="584096015"/>
        <c:crosses val="autoZero"/>
        <c:crossBetween val="between"/>
      </c:valAx>
      <c:valAx>
        <c:axId val="748940751"/>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17372031"/>
        <c:crosses val="max"/>
        <c:crossBetween val="between"/>
      </c:valAx>
      <c:catAx>
        <c:axId val="917372031"/>
        <c:scaling>
          <c:orientation val="minMax"/>
        </c:scaling>
        <c:delete val="1"/>
        <c:axPos val="b"/>
        <c:numFmt formatCode="General" sourceLinked="1"/>
        <c:majorTickMark val="out"/>
        <c:minorTickMark val="none"/>
        <c:tickLblPos val="nextTo"/>
        <c:crossAx val="74894075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legend>
    <c:plotVisOnly val="1"/>
    <c:dispBlanksAs val="gap"/>
    <c:showDLblsOverMax val="0"/>
  </c:chart>
  <c:spPr>
    <a:noFill/>
    <a:ln w="9525" cap="flat" cmpd="sng" algn="ctr">
      <a:no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rPr>
              <a:t>Gráfico</a:t>
            </a:r>
            <a:r>
              <a:rPr lang="en-US" sz="1200" baseline="0">
                <a:solidFill>
                  <a:sysClr val="windowText" lastClr="000000"/>
                </a:solidFill>
              </a:rPr>
              <a:t> 6: </a:t>
            </a:r>
            <a:r>
              <a:rPr lang="en-US" sz="1200">
                <a:solidFill>
                  <a:sysClr val="windowText" lastClr="000000"/>
                </a:solidFill>
              </a:rPr>
              <a:t>Covid-19 e a Busca por Emprego (mil pessoa)</a:t>
            </a:r>
          </a:p>
          <a:p>
            <a:pPr>
              <a:defRPr/>
            </a:pPr>
            <a:r>
              <a:rPr lang="en-US" sz="1000">
                <a:solidFill>
                  <a:sysClr val="windowText" lastClr="000000"/>
                </a:solidFill>
              </a:rPr>
              <a:t>Fonte:</a:t>
            </a:r>
            <a:r>
              <a:rPr lang="en-US" sz="1000" baseline="0">
                <a:solidFill>
                  <a:sysClr val="windowText" lastClr="000000"/>
                </a:solidFill>
              </a:rPr>
              <a:t> IBGE</a:t>
            </a:r>
            <a:r>
              <a:rPr lang="en-US" sz="1000">
                <a:solidFill>
                  <a:sysClr val="windowText" lastClr="000000"/>
                </a:solidFill>
              </a:rPr>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Semanal!$L$2</c:f>
              <c:strCache>
                <c:ptCount val="1"/>
                <c:pt idx="0">
                  <c:v>Covid-19 e a Busca por Emprego </c:v>
                </c:pt>
              </c:strCache>
            </c:strRef>
          </c:tx>
          <c:spPr>
            <a:ln w="28575" cap="rnd">
              <a:solidFill>
                <a:schemeClr val="accent1"/>
              </a:solidFill>
              <a:round/>
            </a:ln>
            <a:effectLst/>
          </c:spPr>
          <c:marker>
            <c:symbol val="none"/>
          </c:marker>
          <c:cat>
            <c:numRef>
              <c:f>Semanal!$B$3:$B$22</c:f>
              <c:numCache>
                <c:formatCode>m/d/yyyy</c:formatCode>
                <c:ptCount val="20"/>
                <c:pt idx="0">
                  <c:v>43960</c:v>
                </c:pt>
                <c:pt idx="1">
                  <c:v>43967</c:v>
                </c:pt>
                <c:pt idx="2">
                  <c:v>43974</c:v>
                </c:pt>
                <c:pt idx="3">
                  <c:v>43981</c:v>
                </c:pt>
                <c:pt idx="4">
                  <c:v>43988</c:v>
                </c:pt>
                <c:pt idx="5">
                  <c:v>43995</c:v>
                </c:pt>
                <c:pt idx="6">
                  <c:v>44002</c:v>
                </c:pt>
                <c:pt idx="7">
                  <c:v>44009</c:v>
                </c:pt>
                <c:pt idx="8">
                  <c:v>44016</c:v>
                </c:pt>
                <c:pt idx="9">
                  <c:v>44023</c:v>
                </c:pt>
                <c:pt idx="10">
                  <c:v>44030</c:v>
                </c:pt>
                <c:pt idx="11">
                  <c:v>44037</c:v>
                </c:pt>
                <c:pt idx="12">
                  <c:v>44051</c:v>
                </c:pt>
                <c:pt idx="13">
                  <c:v>44058</c:v>
                </c:pt>
                <c:pt idx="14">
                  <c:v>44065</c:v>
                </c:pt>
                <c:pt idx="15">
                  <c:v>44072</c:v>
                </c:pt>
                <c:pt idx="16">
                  <c:v>44079</c:v>
                </c:pt>
                <c:pt idx="17">
                  <c:v>44086</c:v>
                </c:pt>
                <c:pt idx="18">
                  <c:v>44093</c:v>
                </c:pt>
                <c:pt idx="19">
                  <c:v>44100</c:v>
                </c:pt>
              </c:numCache>
            </c:numRef>
          </c:cat>
          <c:val>
            <c:numRef>
              <c:f>Semanal!$L$3:$L$22</c:f>
              <c:numCache>
                <c:formatCode>#,##0</c:formatCode>
                <c:ptCount val="20"/>
                <c:pt idx="0">
                  <c:v>19137.346534090208</c:v>
                </c:pt>
                <c:pt idx="1">
                  <c:v>18812.369135741425</c:v>
                </c:pt>
                <c:pt idx="2">
                  <c:v>18163.80775809347</c:v>
                </c:pt>
                <c:pt idx="3">
                  <c:v>17680.471922753964</c:v>
                </c:pt>
                <c:pt idx="4">
                  <c:v>17917.062243297296</c:v>
                </c:pt>
                <c:pt idx="5">
                  <c:v>18163.957209159034</c:v>
                </c:pt>
                <c:pt idx="6">
                  <c:v>17337.332573451327</c:v>
                </c:pt>
                <c:pt idx="7">
                  <c:v>17824.593781074549</c:v>
                </c:pt>
                <c:pt idx="8">
                  <c:v>19375.097930614895</c:v>
                </c:pt>
                <c:pt idx="9">
                  <c:v>19231.290361346608</c:v>
                </c:pt>
                <c:pt idx="10">
                  <c:v>18573.217135188042</c:v>
                </c:pt>
                <c:pt idx="11">
                  <c:v>18531.270075600311</c:v>
                </c:pt>
                <c:pt idx="12">
                  <c:v>18311.213518941808</c:v>
                </c:pt>
                <c:pt idx="13">
                  <c:v>17719.035033039261</c:v>
                </c:pt>
                <c:pt idx="14">
                  <c:v>17136.54162383109</c:v>
                </c:pt>
                <c:pt idx="15">
                  <c:v>16803.178493359632</c:v>
                </c:pt>
                <c:pt idx="16">
                  <c:v>17056.13382642547</c:v>
                </c:pt>
                <c:pt idx="17">
                  <c:v>16252.548674637666</c:v>
                </c:pt>
                <c:pt idx="18">
                  <c:v>15393.560836983086</c:v>
                </c:pt>
                <c:pt idx="19">
                  <c:v>15268.999855310281</c:v>
                </c:pt>
              </c:numCache>
            </c:numRef>
          </c:val>
          <c:smooth val="0"/>
          <c:extLst>
            <c:ext xmlns:c16="http://schemas.microsoft.com/office/drawing/2014/chart" uri="{C3380CC4-5D6E-409C-BE32-E72D297353CC}">
              <c16:uniqueId val="{00000000-7A24-4D02-8856-5B2173CBC242}"/>
            </c:ext>
          </c:extLst>
        </c:ser>
        <c:dLbls>
          <c:showLegendKey val="0"/>
          <c:showVal val="0"/>
          <c:showCatName val="0"/>
          <c:showSerName val="0"/>
          <c:showPercent val="0"/>
          <c:showBubbleSize val="0"/>
        </c:dLbls>
        <c:smooth val="0"/>
        <c:axId val="533844671"/>
        <c:axId val="748917871"/>
      </c:lineChart>
      <c:dateAx>
        <c:axId val="533844671"/>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crossAx val="748917871"/>
        <c:crosses val="autoZero"/>
        <c:auto val="1"/>
        <c:lblOffset val="100"/>
        <c:baseTimeUnit val="days"/>
      </c:dateAx>
      <c:valAx>
        <c:axId val="748917871"/>
        <c:scaling>
          <c:orientation val="minMax"/>
          <c:min val="1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crossAx val="533844671"/>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200">
                <a:solidFill>
                  <a:schemeClr val="tx1"/>
                </a:solidFill>
              </a:rPr>
              <a:t>Índice de Atividade do BCB (IBC-Br)</a:t>
            </a:r>
          </a:p>
          <a:p>
            <a:pPr>
              <a:defRPr/>
            </a:pPr>
            <a:r>
              <a:rPr lang="pt-BR" sz="1000">
                <a:solidFill>
                  <a:schemeClr val="tx1"/>
                </a:solidFill>
              </a:rPr>
              <a:t>Fonte</a:t>
            </a:r>
            <a:r>
              <a:rPr lang="pt-BR" sz="1000" baseline="0">
                <a:solidFill>
                  <a:schemeClr val="tx1"/>
                </a:solidFill>
              </a:rPr>
              <a:t>: BCB</a:t>
            </a:r>
            <a:endParaRPr lang="pt-BR" sz="1000">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'IBC-Br Dessazonalizado'!$C$205</c:f>
              <c:strCache>
                <c:ptCount val="1"/>
                <c:pt idx="0">
                  <c:v>Sul</c:v>
                </c:pt>
              </c:strCache>
            </c:strRef>
          </c:tx>
          <c:spPr>
            <a:ln w="28575" cap="rnd">
              <a:solidFill>
                <a:schemeClr val="accent1"/>
              </a:solidFill>
              <a:round/>
            </a:ln>
            <a:effectLst/>
          </c:spPr>
          <c:marker>
            <c:symbol val="none"/>
          </c:marker>
          <c:cat>
            <c:numRef>
              <c:f>'IBC-Br Dessazonalizado'!$A$206:$A$217</c:f>
              <c:numCache>
                <c:formatCode>mmm\-yy</c:formatCode>
                <c:ptCount val="12"/>
                <c:pt idx="0">
                  <c:v>43739</c:v>
                </c:pt>
                <c:pt idx="1">
                  <c:v>43770</c:v>
                </c:pt>
                <c:pt idx="2">
                  <c:v>43800</c:v>
                </c:pt>
                <c:pt idx="3">
                  <c:v>43831</c:v>
                </c:pt>
                <c:pt idx="4">
                  <c:v>43862</c:v>
                </c:pt>
                <c:pt idx="5">
                  <c:v>43891</c:v>
                </c:pt>
                <c:pt idx="6">
                  <c:v>43922</c:v>
                </c:pt>
                <c:pt idx="7">
                  <c:v>43952</c:v>
                </c:pt>
                <c:pt idx="8">
                  <c:v>43983</c:v>
                </c:pt>
                <c:pt idx="9">
                  <c:v>44013</c:v>
                </c:pt>
                <c:pt idx="10">
                  <c:v>44044</c:v>
                </c:pt>
                <c:pt idx="11">
                  <c:v>44075</c:v>
                </c:pt>
              </c:numCache>
            </c:numRef>
          </c:cat>
          <c:val>
            <c:numRef>
              <c:f>'IBC-Br Dessazonalizado'!$C$206:$C$217</c:f>
              <c:numCache>
                <c:formatCode>#,##0.00</c:formatCode>
                <c:ptCount val="12"/>
                <c:pt idx="0">
                  <c:v>153.35</c:v>
                </c:pt>
                <c:pt idx="1">
                  <c:v>152.66999999999999</c:v>
                </c:pt>
                <c:pt idx="2">
                  <c:v>152.05000000000001</c:v>
                </c:pt>
                <c:pt idx="3">
                  <c:v>152.78</c:v>
                </c:pt>
                <c:pt idx="4">
                  <c:v>152.74</c:v>
                </c:pt>
                <c:pt idx="5">
                  <c:v>147.82</c:v>
                </c:pt>
                <c:pt idx="6">
                  <c:v>135.15</c:v>
                </c:pt>
                <c:pt idx="7">
                  <c:v>142.43</c:v>
                </c:pt>
                <c:pt idx="8">
                  <c:v>146.86000000000001</c:v>
                </c:pt>
                <c:pt idx="9">
                  <c:v>148.22</c:v>
                </c:pt>
                <c:pt idx="10">
                  <c:v>152.22999999999999</c:v>
                </c:pt>
                <c:pt idx="11">
                  <c:v>154.9</c:v>
                </c:pt>
              </c:numCache>
            </c:numRef>
          </c:val>
          <c:smooth val="0"/>
          <c:extLst>
            <c:ext xmlns:c16="http://schemas.microsoft.com/office/drawing/2014/chart" uri="{C3380CC4-5D6E-409C-BE32-E72D297353CC}">
              <c16:uniqueId val="{00000000-C640-496D-B634-8E80A780166E}"/>
            </c:ext>
          </c:extLst>
        </c:ser>
        <c:ser>
          <c:idx val="1"/>
          <c:order val="1"/>
          <c:tx>
            <c:strRef>
              <c:f>'IBC-Br Dessazonalizado'!$D$205</c:f>
              <c:strCache>
                <c:ptCount val="1"/>
                <c:pt idx="0">
                  <c:v>Sudeste</c:v>
                </c:pt>
              </c:strCache>
            </c:strRef>
          </c:tx>
          <c:spPr>
            <a:ln w="28575" cap="rnd">
              <a:solidFill>
                <a:schemeClr val="accent2"/>
              </a:solidFill>
              <a:round/>
            </a:ln>
            <a:effectLst/>
          </c:spPr>
          <c:marker>
            <c:symbol val="none"/>
          </c:marker>
          <c:cat>
            <c:numRef>
              <c:f>'IBC-Br Dessazonalizado'!$A$206:$A$217</c:f>
              <c:numCache>
                <c:formatCode>mmm\-yy</c:formatCode>
                <c:ptCount val="12"/>
                <c:pt idx="0">
                  <c:v>43739</c:v>
                </c:pt>
                <c:pt idx="1">
                  <c:v>43770</c:v>
                </c:pt>
                <c:pt idx="2">
                  <c:v>43800</c:v>
                </c:pt>
                <c:pt idx="3">
                  <c:v>43831</c:v>
                </c:pt>
                <c:pt idx="4">
                  <c:v>43862</c:v>
                </c:pt>
                <c:pt idx="5">
                  <c:v>43891</c:v>
                </c:pt>
                <c:pt idx="6">
                  <c:v>43922</c:v>
                </c:pt>
                <c:pt idx="7">
                  <c:v>43952</c:v>
                </c:pt>
                <c:pt idx="8">
                  <c:v>43983</c:v>
                </c:pt>
                <c:pt idx="9">
                  <c:v>44013</c:v>
                </c:pt>
                <c:pt idx="10">
                  <c:v>44044</c:v>
                </c:pt>
                <c:pt idx="11">
                  <c:v>44075</c:v>
                </c:pt>
              </c:numCache>
            </c:numRef>
          </c:cat>
          <c:val>
            <c:numRef>
              <c:f>'IBC-Br Dessazonalizado'!$D$206:$D$217</c:f>
              <c:numCache>
                <c:formatCode>#,##0.00</c:formatCode>
                <c:ptCount val="12"/>
                <c:pt idx="0">
                  <c:v>145.74</c:v>
                </c:pt>
                <c:pt idx="1">
                  <c:v>144.94</c:v>
                </c:pt>
                <c:pt idx="2">
                  <c:v>144.63</c:v>
                </c:pt>
                <c:pt idx="3">
                  <c:v>145.38999999999999</c:v>
                </c:pt>
                <c:pt idx="4">
                  <c:v>145.76</c:v>
                </c:pt>
                <c:pt idx="5">
                  <c:v>141.30000000000001</c:v>
                </c:pt>
                <c:pt idx="6">
                  <c:v>131.49</c:v>
                </c:pt>
                <c:pt idx="7">
                  <c:v>133.43</c:v>
                </c:pt>
                <c:pt idx="8">
                  <c:v>138.54</c:v>
                </c:pt>
                <c:pt idx="9">
                  <c:v>142.15</c:v>
                </c:pt>
                <c:pt idx="10">
                  <c:v>143.18</c:v>
                </c:pt>
                <c:pt idx="11">
                  <c:v>144.88</c:v>
                </c:pt>
              </c:numCache>
            </c:numRef>
          </c:val>
          <c:smooth val="0"/>
          <c:extLst>
            <c:ext xmlns:c16="http://schemas.microsoft.com/office/drawing/2014/chart" uri="{C3380CC4-5D6E-409C-BE32-E72D297353CC}">
              <c16:uniqueId val="{00000001-C640-496D-B634-8E80A780166E}"/>
            </c:ext>
          </c:extLst>
        </c:ser>
        <c:ser>
          <c:idx val="2"/>
          <c:order val="2"/>
          <c:tx>
            <c:strRef>
              <c:f>'IBC-Br Dessazonalizado'!$E$205</c:f>
              <c:strCache>
                <c:ptCount val="1"/>
                <c:pt idx="0">
                  <c:v>Centro-Oeste</c:v>
                </c:pt>
              </c:strCache>
            </c:strRef>
          </c:tx>
          <c:spPr>
            <a:ln w="28575" cap="rnd">
              <a:solidFill>
                <a:schemeClr val="accent3"/>
              </a:solidFill>
              <a:round/>
            </a:ln>
            <a:effectLst/>
          </c:spPr>
          <c:marker>
            <c:symbol val="none"/>
          </c:marker>
          <c:cat>
            <c:numRef>
              <c:f>'IBC-Br Dessazonalizado'!$A$206:$A$217</c:f>
              <c:numCache>
                <c:formatCode>mmm\-yy</c:formatCode>
                <c:ptCount val="12"/>
                <c:pt idx="0">
                  <c:v>43739</c:v>
                </c:pt>
                <c:pt idx="1">
                  <c:v>43770</c:v>
                </c:pt>
                <c:pt idx="2">
                  <c:v>43800</c:v>
                </c:pt>
                <c:pt idx="3">
                  <c:v>43831</c:v>
                </c:pt>
                <c:pt idx="4">
                  <c:v>43862</c:v>
                </c:pt>
                <c:pt idx="5">
                  <c:v>43891</c:v>
                </c:pt>
                <c:pt idx="6">
                  <c:v>43922</c:v>
                </c:pt>
                <c:pt idx="7">
                  <c:v>43952</c:v>
                </c:pt>
                <c:pt idx="8">
                  <c:v>43983</c:v>
                </c:pt>
                <c:pt idx="9">
                  <c:v>44013</c:v>
                </c:pt>
                <c:pt idx="10">
                  <c:v>44044</c:v>
                </c:pt>
                <c:pt idx="11">
                  <c:v>44075</c:v>
                </c:pt>
              </c:numCache>
            </c:numRef>
          </c:cat>
          <c:val>
            <c:numRef>
              <c:f>'IBC-Br Dessazonalizado'!$E$206:$E$217</c:f>
              <c:numCache>
                <c:formatCode>#,##0.00</c:formatCode>
                <c:ptCount val="12"/>
                <c:pt idx="0">
                  <c:v>176.13</c:v>
                </c:pt>
                <c:pt idx="1">
                  <c:v>175.34</c:v>
                </c:pt>
                <c:pt idx="2">
                  <c:v>174.24</c:v>
                </c:pt>
                <c:pt idx="3">
                  <c:v>174.8</c:v>
                </c:pt>
                <c:pt idx="4">
                  <c:v>177.48</c:v>
                </c:pt>
                <c:pt idx="5">
                  <c:v>173.08</c:v>
                </c:pt>
                <c:pt idx="6">
                  <c:v>168.18</c:v>
                </c:pt>
                <c:pt idx="7">
                  <c:v>171.03</c:v>
                </c:pt>
                <c:pt idx="8">
                  <c:v>172.23</c:v>
                </c:pt>
                <c:pt idx="9">
                  <c:v>171.55</c:v>
                </c:pt>
                <c:pt idx="10">
                  <c:v>171.51</c:v>
                </c:pt>
                <c:pt idx="11">
                  <c:v>174.06</c:v>
                </c:pt>
              </c:numCache>
            </c:numRef>
          </c:val>
          <c:smooth val="0"/>
          <c:extLst>
            <c:ext xmlns:c16="http://schemas.microsoft.com/office/drawing/2014/chart" uri="{C3380CC4-5D6E-409C-BE32-E72D297353CC}">
              <c16:uniqueId val="{00000002-C640-496D-B634-8E80A780166E}"/>
            </c:ext>
          </c:extLst>
        </c:ser>
        <c:ser>
          <c:idx val="3"/>
          <c:order val="3"/>
          <c:tx>
            <c:strRef>
              <c:f>'IBC-Br Dessazonalizado'!$F$205</c:f>
              <c:strCache>
                <c:ptCount val="1"/>
                <c:pt idx="0">
                  <c:v>Nordeste</c:v>
                </c:pt>
              </c:strCache>
            </c:strRef>
          </c:tx>
          <c:spPr>
            <a:ln w="28575" cap="rnd">
              <a:solidFill>
                <a:schemeClr val="accent4"/>
              </a:solidFill>
              <a:round/>
            </a:ln>
            <a:effectLst/>
          </c:spPr>
          <c:marker>
            <c:symbol val="none"/>
          </c:marker>
          <c:cat>
            <c:numRef>
              <c:f>'IBC-Br Dessazonalizado'!$A$206:$A$217</c:f>
              <c:numCache>
                <c:formatCode>mmm\-yy</c:formatCode>
                <c:ptCount val="12"/>
                <c:pt idx="0">
                  <c:v>43739</c:v>
                </c:pt>
                <c:pt idx="1">
                  <c:v>43770</c:v>
                </c:pt>
                <c:pt idx="2">
                  <c:v>43800</c:v>
                </c:pt>
                <c:pt idx="3">
                  <c:v>43831</c:v>
                </c:pt>
                <c:pt idx="4">
                  <c:v>43862</c:v>
                </c:pt>
                <c:pt idx="5">
                  <c:v>43891</c:v>
                </c:pt>
                <c:pt idx="6">
                  <c:v>43922</c:v>
                </c:pt>
                <c:pt idx="7">
                  <c:v>43952</c:v>
                </c:pt>
                <c:pt idx="8">
                  <c:v>43983</c:v>
                </c:pt>
                <c:pt idx="9">
                  <c:v>44013</c:v>
                </c:pt>
                <c:pt idx="10">
                  <c:v>44044</c:v>
                </c:pt>
                <c:pt idx="11">
                  <c:v>44075</c:v>
                </c:pt>
              </c:numCache>
            </c:numRef>
          </c:cat>
          <c:val>
            <c:numRef>
              <c:f>'IBC-Br Dessazonalizado'!$F$206:$F$217</c:f>
              <c:numCache>
                <c:formatCode>#,##0.00</c:formatCode>
                <c:ptCount val="12"/>
                <c:pt idx="0">
                  <c:v>143.19999999999999</c:v>
                </c:pt>
                <c:pt idx="1">
                  <c:v>143.59</c:v>
                </c:pt>
                <c:pt idx="2">
                  <c:v>143.69999999999999</c:v>
                </c:pt>
                <c:pt idx="3">
                  <c:v>144.16999999999999</c:v>
                </c:pt>
                <c:pt idx="4">
                  <c:v>144.97999999999999</c:v>
                </c:pt>
                <c:pt idx="5">
                  <c:v>138.74</c:v>
                </c:pt>
                <c:pt idx="6">
                  <c:v>131.83000000000001</c:v>
                </c:pt>
                <c:pt idx="7">
                  <c:v>131.69999999999999</c:v>
                </c:pt>
                <c:pt idx="8">
                  <c:v>135.66999999999999</c:v>
                </c:pt>
                <c:pt idx="9">
                  <c:v>137.91999999999999</c:v>
                </c:pt>
                <c:pt idx="10">
                  <c:v>139.41999999999999</c:v>
                </c:pt>
                <c:pt idx="11">
                  <c:v>140.84</c:v>
                </c:pt>
              </c:numCache>
            </c:numRef>
          </c:val>
          <c:smooth val="0"/>
          <c:extLst>
            <c:ext xmlns:c16="http://schemas.microsoft.com/office/drawing/2014/chart" uri="{C3380CC4-5D6E-409C-BE32-E72D297353CC}">
              <c16:uniqueId val="{00000003-C640-496D-B634-8E80A780166E}"/>
            </c:ext>
          </c:extLst>
        </c:ser>
        <c:ser>
          <c:idx val="4"/>
          <c:order val="4"/>
          <c:tx>
            <c:strRef>
              <c:f>'IBC-Br Dessazonalizado'!$G$205</c:f>
              <c:strCache>
                <c:ptCount val="1"/>
                <c:pt idx="0">
                  <c:v>Norte</c:v>
                </c:pt>
              </c:strCache>
            </c:strRef>
          </c:tx>
          <c:spPr>
            <a:ln w="28575" cap="rnd">
              <a:solidFill>
                <a:schemeClr val="accent5"/>
              </a:solidFill>
              <a:round/>
            </a:ln>
            <a:effectLst/>
          </c:spPr>
          <c:marker>
            <c:symbol val="none"/>
          </c:marker>
          <c:cat>
            <c:numRef>
              <c:f>'IBC-Br Dessazonalizado'!$A$206:$A$217</c:f>
              <c:numCache>
                <c:formatCode>mmm\-yy</c:formatCode>
                <c:ptCount val="12"/>
                <c:pt idx="0">
                  <c:v>43739</c:v>
                </c:pt>
                <c:pt idx="1">
                  <c:v>43770</c:v>
                </c:pt>
                <c:pt idx="2">
                  <c:v>43800</c:v>
                </c:pt>
                <c:pt idx="3">
                  <c:v>43831</c:v>
                </c:pt>
                <c:pt idx="4">
                  <c:v>43862</c:v>
                </c:pt>
                <c:pt idx="5">
                  <c:v>43891</c:v>
                </c:pt>
                <c:pt idx="6">
                  <c:v>43922</c:v>
                </c:pt>
                <c:pt idx="7">
                  <c:v>43952</c:v>
                </c:pt>
                <c:pt idx="8">
                  <c:v>43983</c:v>
                </c:pt>
                <c:pt idx="9">
                  <c:v>44013</c:v>
                </c:pt>
                <c:pt idx="10">
                  <c:v>44044</c:v>
                </c:pt>
                <c:pt idx="11">
                  <c:v>44075</c:v>
                </c:pt>
              </c:numCache>
            </c:numRef>
          </c:cat>
          <c:val>
            <c:numRef>
              <c:f>'IBC-Br Dessazonalizado'!$G$206:$G$217</c:f>
              <c:numCache>
                <c:formatCode>#,##0.00</c:formatCode>
                <c:ptCount val="12"/>
                <c:pt idx="0">
                  <c:v>169.62</c:v>
                </c:pt>
                <c:pt idx="1">
                  <c:v>169.73</c:v>
                </c:pt>
                <c:pt idx="2">
                  <c:v>170.54</c:v>
                </c:pt>
                <c:pt idx="3">
                  <c:v>168.54</c:v>
                </c:pt>
                <c:pt idx="4">
                  <c:v>170.95</c:v>
                </c:pt>
                <c:pt idx="5">
                  <c:v>166.05</c:v>
                </c:pt>
                <c:pt idx="6">
                  <c:v>158.87</c:v>
                </c:pt>
                <c:pt idx="7">
                  <c:v>154.66</c:v>
                </c:pt>
                <c:pt idx="8">
                  <c:v>168.38</c:v>
                </c:pt>
                <c:pt idx="9">
                  <c:v>171.77</c:v>
                </c:pt>
                <c:pt idx="10">
                  <c:v>171.81</c:v>
                </c:pt>
                <c:pt idx="11">
                  <c:v>172.91</c:v>
                </c:pt>
              </c:numCache>
            </c:numRef>
          </c:val>
          <c:smooth val="0"/>
          <c:extLst>
            <c:ext xmlns:c16="http://schemas.microsoft.com/office/drawing/2014/chart" uri="{C3380CC4-5D6E-409C-BE32-E72D297353CC}">
              <c16:uniqueId val="{00000004-C640-496D-B634-8E80A780166E}"/>
            </c:ext>
          </c:extLst>
        </c:ser>
        <c:dLbls>
          <c:showLegendKey val="0"/>
          <c:showVal val="0"/>
          <c:showCatName val="0"/>
          <c:showSerName val="0"/>
          <c:showPercent val="0"/>
          <c:showBubbleSize val="0"/>
        </c:dLbls>
        <c:smooth val="0"/>
        <c:axId val="1288427439"/>
        <c:axId val="1289225343"/>
      </c:lineChart>
      <c:dateAx>
        <c:axId val="1288427439"/>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pt-BR"/>
          </a:p>
        </c:txPr>
        <c:crossAx val="1289225343"/>
        <c:crosses val="autoZero"/>
        <c:auto val="1"/>
        <c:lblOffset val="100"/>
        <c:baseTimeUnit val="months"/>
      </c:dateAx>
      <c:valAx>
        <c:axId val="1289225343"/>
        <c:scaling>
          <c:orientation val="minMax"/>
          <c:min val="13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pt-BR"/>
          </a:p>
        </c:txPr>
        <c:crossAx val="1288427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noFill/>
    <a:ln w="9525" cap="flat" cmpd="sng" algn="ctr">
      <a:no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200">
                <a:solidFill>
                  <a:schemeClr val="tx1"/>
                </a:solidFill>
              </a:rPr>
              <a:t>Gráfico 7: Comportamento das Contas Públicas</a:t>
            </a:r>
            <a:r>
              <a:rPr lang="pt-BR" sz="1200" baseline="0">
                <a:solidFill>
                  <a:schemeClr val="tx1"/>
                </a:solidFill>
              </a:rPr>
              <a:t> (% do PIB) </a:t>
            </a:r>
          </a:p>
          <a:p>
            <a:pPr>
              <a:defRPr/>
            </a:pPr>
            <a:r>
              <a:rPr lang="pt-BR" sz="1000" baseline="0">
                <a:solidFill>
                  <a:schemeClr val="tx1"/>
                </a:solidFill>
              </a:rPr>
              <a:t>Fonte: BCB</a:t>
            </a:r>
            <a:endParaRPr lang="pt-BR" sz="1000">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'Resultado Primario Ajustado'!$B$242</c:f>
              <c:strCache>
                <c:ptCount val="1"/>
                <c:pt idx="0">
                  <c:v>Resultado Primário (dir.)</c:v>
                </c:pt>
              </c:strCache>
            </c:strRef>
          </c:tx>
          <c:spPr>
            <a:solidFill>
              <a:schemeClr val="accent1"/>
            </a:solidFill>
            <a:ln>
              <a:noFill/>
            </a:ln>
            <a:effectLst/>
          </c:spPr>
          <c:invertIfNegative val="0"/>
          <c:cat>
            <c:numRef>
              <c:f>'Resultado Primario Ajustado'!$A$243:$A$255</c:f>
              <c:numCache>
                <c:formatCode>mmm\-yy</c:formatCode>
                <c:ptCount val="13"/>
                <c:pt idx="0">
                  <c:v>43739</c:v>
                </c:pt>
                <c:pt idx="1">
                  <c:v>43770</c:v>
                </c:pt>
                <c:pt idx="2">
                  <c:v>43800</c:v>
                </c:pt>
                <c:pt idx="3">
                  <c:v>43831</c:v>
                </c:pt>
                <c:pt idx="4">
                  <c:v>43862</c:v>
                </c:pt>
                <c:pt idx="5">
                  <c:v>43891</c:v>
                </c:pt>
                <c:pt idx="6">
                  <c:v>43922</c:v>
                </c:pt>
                <c:pt idx="7">
                  <c:v>43952</c:v>
                </c:pt>
                <c:pt idx="8">
                  <c:v>43983</c:v>
                </c:pt>
                <c:pt idx="9">
                  <c:v>44013</c:v>
                </c:pt>
                <c:pt idx="10">
                  <c:v>44044</c:v>
                </c:pt>
                <c:pt idx="11">
                  <c:v>44075</c:v>
                </c:pt>
                <c:pt idx="12">
                  <c:v>44105</c:v>
                </c:pt>
              </c:numCache>
            </c:numRef>
          </c:cat>
          <c:val>
            <c:numRef>
              <c:f>'Resultado Primario Ajustado'!$B$243:$B$255</c:f>
              <c:numCache>
                <c:formatCode>0.00</c:formatCode>
                <c:ptCount val="13"/>
                <c:pt idx="0">
                  <c:v>-1.2500473985210547</c:v>
                </c:pt>
                <c:pt idx="1">
                  <c:v>-1.2408130355842941</c:v>
                </c:pt>
                <c:pt idx="2">
                  <c:v>-0.85325935552626808</c:v>
                </c:pt>
                <c:pt idx="3">
                  <c:v>-0.71990744035368648</c:v>
                </c:pt>
                <c:pt idx="4">
                  <c:v>-0.79713005475724363</c:v>
                </c:pt>
                <c:pt idx="5">
                  <c:v>-0.86096172405187732</c:v>
                </c:pt>
                <c:pt idx="6">
                  <c:v>-2.2533226839437113</c:v>
                </c:pt>
                <c:pt idx="7">
                  <c:v>-3.9120082876389755</c:v>
                </c:pt>
                <c:pt idx="8">
                  <c:v>-6.379960388521301</c:v>
                </c:pt>
                <c:pt idx="9">
                  <c:v>-7.4716965763758472</c:v>
                </c:pt>
                <c:pt idx="10">
                  <c:v>-8.4969684874124773</c:v>
                </c:pt>
                <c:pt idx="11">
                  <c:v>-9.0816412962001696</c:v>
                </c:pt>
                <c:pt idx="12">
                  <c:v>-9.1343428978283505</c:v>
                </c:pt>
              </c:numCache>
            </c:numRef>
          </c:val>
          <c:extLst>
            <c:ext xmlns:c16="http://schemas.microsoft.com/office/drawing/2014/chart" uri="{C3380CC4-5D6E-409C-BE32-E72D297353CC}">
              <c16:uniqueId val="{00000000-8611-4B52-87FB-82E6C8A4D314}"/>
            </c:ext>
          </c:extLst>
        </c:ser>
        <c:dLbls>
          <c:showLegendKey val="0"/>
          <c:showVal val="0"/>
          <c:showCatName val="0"/>
          <c:showSerName val="0"/>
          <c:showPercent val="0"/>
          <c:showBubbleSize val="0"/>
        </c:dLbls>
        <c:gapWidth val="150"/>
        <c:axId val="1077730080"/>
        <c:axId val="956720352"/>
      </c:barChart>
      <c:lineChart>
        <c:grouping val="standard"/>
        <c:varyColors val="0"/>
        <c:ser>
          <c:idx val="1"/>
          <c:order val="1"/>
          <c:tx>
            <c:strRef>
              <c:f>'Resultado Primario Ajustado'!$D$242</c:f>
              <c:strCache>
                <c:ptCount val="1"/>
                <c:pt idx="0">
                  <c:v>Dívida Bruta</c:v>
                </c:pt>
              </c:strCache>
            </c:strRef>
          </c:tx>
          <c:spPr>
            <a:ln w="28575" cap="rnd">
              <a:solidFill>
                <a:schemeClr val="accent2"/>
              </a:solidFill>
              <a:round/>
            </a:ln>
            <a:effectLst/>
          </c:spPr>
          <c:marker>
            <c:symbol val="none"/>
          </c:marker>
          <c:cat>
            <c:numRef>
              <c:f>'Resultado Primario Ajustado'!$A$243:$A$255</c:f>
              <c:numCache>
                <c:formatCode>mmm\-yy</c:formatCode>
                <c:ptCount val="13"/>
                <c:pt idx="0">
                  <c:v>43739</c:v>
                </c:pt>
                <c:pt idx="1">
                  <c:v>43770</c:v>
                </c:pt>
                <c:pt idx="2">
                  <c:v>43800</c:v>
                </c:pt>
                <c:pt idx="3">
                  <c:v>43831</c:v>
                </c:pt>
                <c:pt idx="4">
                  <c:v>43862</c:v>
                </c:pt>
                <c:pt idx="5">
                  <c:v>43891</c:v>
                </c:pt>
                <c:pt idx="6">
                  <c:v>43922</c:v>
                </c:pt>
                <c:pt idx="7">
                  <c:v>43952</c:v>
                </c:pt>
                <c:pt idx="8">
                  <c:v>43983</c:v>
                </c:pt>
                <c:pt idx="9">
                  <c:v>44013</c:v>
                </c:pt>
                <c:pt idx="10">
                  <c:v>44044</c:v>
                </c:pt>
                <c:pt idx="11">
                  <c:v>44075</c:v>
                </c:pt>
                <c:pt idx="12">
                  <c:v>44105</c:v>
                </c:pt>
              </c:numCache>
            </c:numRef>
          </c:cat>
          <c:val>
            <c:numRef>
              <c:f>'Resultado Primario Ajustado'!$D$243:$D$255</c:f>
              <c:numCache>
                <c:formatCode>0.0</c:formatCode>
                <c:ptCount val="13"/>
                <c:pt idx="0">
                  <c:v>77.182162677615651</c:v>
                </c:pt>
                <c:pt idx="1">
                  <c:v>77.58742326781649</c:v>
                </c:pt>
                <c:pt idx="2">
                  <c:v>75.79110584699751</c:v>
                </c:pt>
                <c:pt idx="3">
                  <c:v>76.175435798309195</c:v>
                </c:pt>
                <c:pt idx="4">
                  <c:v>76.718799404630744</c:v>
                </c:pt>
                <c:pt idx="5">
                  <c:v>78.508869675153349</c:v>
                </c:pt>
                <c:pt idx="6">
                  <c:v>80.046350414295958</c:v>
                </c:pt>
                <c:pt idx="7">
                  <c:v>82.287381130265643</c:v>
                </c:pt>
                <c:pt idx="8">
                  <c:v>85.562920851392789</c:v>
                </c:pt>
                <c:pt idx="9">
                  <c:v>86.365347737035464</c:v>
                </c:pt>
                <c:pt idx="10">
                  <c:v>88.760898199844078</c:v>
                </c:pt>
                <c:pt idx="11">
                  <c:v>90.548215559856118</c:v>
                </c:pt>
                <c:pt idx="12">
                  <c:v>90.74537669473311</c:v>
                </c:pt>
              </c:numCache>
            </c:numRef>
          </c:val>
          <c:smooth val="0"/>
          <c:extLst>
            <c:ext xmlns:c16="http://schemas.microsoft.com/office/drawing/2014/chart" uri="{C3380CC4-5D6E-409C-BE32-E72D297353CC}">
              <c16:uniqueId val="{00000001-8611-4B52-87FB-82E6C8A4D314}"/>
            </c:ext>
          </c:extLst>
        </c:ser>
        <c:dLbls>
          <c:showLegendKey val="0"/>
          <c:showVal val="0"/>
          <c:showCatName val="0"/>
          <c:showSerName val="0"/>
          <c:showPercent val="0"/>
          <c:showBubbleSize val="0"/>
        </c:dLbls>
        <c:marker val="1"/>
        <c:smooth val="0"/>
        <c:axId val="1083682032"/>
        <c:axId val="1073821216"/>
      </c:lineChart>
      <c:dateAx>
        <c:axId val="1083682032"/>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pt-BR"/>
          </a:p>
        </c:txPr>
        <c:crossAx val="1073821216"/>
        <c:crosses val="autoZero"/>
        <c:auto val="1"/>
        <c:lblOffset val="100"/>
        <c:baseTimeUnit val="months"/>
      </c:dateAx>
      <c:valAx>
        <c:axId val="107382121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pt-BR"/>
          </a:p>
        </c:txPr>
        <c:crossAx val="1083682032"/>
        <c:crosses val="autoZero"/>
        <c:crossBetween val="between"/>
      </c:valAx>
      <c:valAx>
        <c:axId val="956720352"/>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pt-BR"/>
          </a:p>
        </c:txPr>
        <c:crossAx val="1077730080"/>
        <c:crosses val="max"/>
        <c:crossBetween val="between"/>
      </c:valAx>
      <c:dateAx>
        <c:axId val="1077730080"/>
        <c:scaling>
          <c:orientation val="minMax"/>
        </c:scaling>
        <c:delete val="1"/>
        <c:axPos val="b"/>
        <c:numFmt formatCode="mmm\-yy" sourceLinked="1"/>
        <c:majorTickMark val="out"/>
        <c:minorTickMark val="none"/>
        <c:tickLblPos val="nextTo"/>
        <c:crossAx val="956720352"/>
        <c:crosses val="autoZero"/>
        <c:auto val="1"/>
        <c:lblOffset val="100"/>
        <c:baseTimeUnit val="months"/>
        <c:majorUnit val="1"/>
        <c:minorUnit val="1"/>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legend>
    <c:plotVisOnly val="1"/>
    <c:dispBlanksAs val="gap"/>
    <c:showDLblsOverMax val="0"/>
  </c:chart>
  <c:spPr>
    <a:noFill/>
    <a:ln w="9525" cap="flat" cmpd="sng" algn="ctr">
      <a:no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200">
                <a:solidFill>
                  <a:schemeClr val="tx1"/>
                </a:solidFill>
              </a:rPr>
              <a:t>Gráfico 8: A Taxa</a:t>
            </a:r>
            <a:r>
              <a:rPr lang="pt-BR" sz="1200" baseline="0">
                <a:solidFill>
                  <a:schemeClr val="tx1"/>
                </a:solidFill>
              </a:rPr>
              <a:t> de Câmbio e a Inclinação da Curva de Juros </a:t>
            </a:r>
          </a:p>
          <a:p>
            <a:pPr>
              <a:defRPr/>
            </a:pPr>
            <a:r>
              <a:rPr lang="pt-BR" sz="1000" baseline="0">
                <a:solidFill>
                  <a:schemeClr val="tx1"/>
                </a:solidFill>
              </a:rPr>
              <a:t>Fonte: Bloomberg</a:t>
            </a:r>
            <a:endParaRPr lang="pt-BR" sz="1000">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Planilha1!$E$1</c:f>
              <c:strCache>
                <c:ptCount val="1"/>
                <c:pt idx="0">
                  <c:v>Taxa de Câmbio (R$/US$)</c:v>
                </c:pt>
              </c:strCache>
            </c:strRef>
          </c:tx>
          <c:spPr>
            <a:ln w="28575" cap="rnd">
              <a:solidFill>
                <a:schemeClr val="accent1"/>
              </a:solidFill>
              <a:round/>
            </a:ln>
            <a:effectLst/>
          </c:spPr>
          <c:marker>
            <c:symbol val="none"/>
          </c:marker>
          <c:cat>
            <c:numRef>
              <c:f>Planilha1!$A$2:$A$15</c:f>
              <c:numCache>
                <c:formatCode>mmm\-yy</c:formatCode>
                <c:ptCount val="14"/>
                <c:pt idx="0">
                  <c:v>44136</c:v>
                </c:pt>
                <c:pt idx="1">
                  <c:v>44105</c:v>
                </c:pt>
                <c:pt idx="2">
                  <c:v>44075</c:v>
                </c:pt>
                <c:pt idx="3">
                  <c:v>44044</c:v>
                </c:pt>
                <c:pt idx="4">
                  <c:v>44013</c:v>
                </c:pt>
                <c:pt idx="5">
                  <c:v>43983</c:v>
                </c:pt>
                <c:pt idx="6">
                  <c:v>43952</c:v>
                </c:pt>
                <c:pt idx="7">
                  <c:v>43922</c:v>
                </c:pt>
                <c:pt idx="8">
                  <c:v>43891</c:v>
                </c:pt>
                <c:pt idx="9">
                  <c:v>43862</c:v>
                </c:pt>
                <c:pt idx="10">
                  <c:v>43831</c:v>
                </c:pt>
                <c:pt idx="11">
                  <c:v>43800</c:v>
                </c:pt>
                <c:pt idx="12">
                  <c:v>43770</c:v>
                </c:pt>
                <c:pt idx="13">
                  <c:v>43739</c:v>
                </c:pt>
              </c:numCache>
            </c:numRef>
          </c:cat>
          <c:val>
            <c:numRef>
              <c:f>Planilha1!$E$2:$E$15</c:f>
              <c:numCache>
                <c:formatCode>0.000</c:formatCode>
                <c:ptCount val="14"/>
                <c:pt idx="0" formatCode="General">
                  <c:v>5.35</c:v>
                </c:pt>
                <c:pt idx="1">
                  <c:v>5.74</c:v>
                </c:pt>
                <c:pt idx="2">
                  <c:v>5.61</c:v>
                </c:pt>
                <c:pt idx="3">
                  <c:v>5.49</c:v>
                </c:pt>
                <c:pt idx="4">
                  <c:v>5.22</c:v>
                </c:pt>
                <c:pt idx="5">
                  <c:v>5.46</c:v>
                </c:pt>
                <c:pt idx="6">
                  <c:v>5.33</c:v>
                </c:pt>
                <c:pt idx="7">
                  <c:v>5.48</c:v>
                </c:pt>
                <c:pt idx="8">
                  <c:v>5.2</c:v>
                </c:pt>
                <c:pt idx="9">
                  <c:v>4.47</c:v>
                </c:pt>
                <c:pt idx="10">
                  <c:v>4.28</c:v>
                </c:pt>
                <c:pt idx="11">
                  <c:v>4.0199999999999996</c:v>
                </c:pt>
                <c:pt idx="12">
                  <c:v>4.2300000000000004</c:v>
                </c:pt>
                <c:pt idx="13">
                  <c:v>4.01</c:v>
                </c:pt>
              </c:numCache>
            </c:numRef>
          </c:val>
          <c:smooth val="0"/>
          <c:extLst>
            <c:ext xmlns:c16="http://schemas.microsoft.com/office/drawing/2014/chart" uri="{C3380CC4-5D6E-409C-BE32-E72D297353CC}">
              <c16:uniqueId val="{00000000-5028-4905-ACB7-E3402805F483}"/>
            </c:ext>
          </c:extLst>
        </c:ser>
        <c:ser>
          <c:idx val="1"/>
          <c:order val="1"/>
          <c:tx>
            <c:strRef>
              <c:f>Planilha1!$J$1</c:f>
              <c:strCache>
                <c:ptCount val="1"/>
                <c:pt idx="0">
                  <c:v>Diferencial DI27 - DI21 (%)</c:v>
                </c:pt>
              </c:strCache>
            </c:strRef>
          </c:tx>
          <c:spPr>
            <a:ln w="28575" cap="rnd">
              <a:solidFill>
                <a:schemeClr val="accent2"/>
              </a:solidFill>
              <a:round/>
            </a:ln>
            <a:effectLst/>
          </c:spPr>
          <c:marker>
            <c:symbol val="none"/>
          </c:marker>
          <c:cat>
            <c:numRef>
              <c:f>Planilha1!$A$2:$A$15</c:f>
              <c:numCache>
                <c:formatCode>mmm\-yy</c:formatCode>
                <c:ptCount val="14"/>
                <c:pt idx="0">
                  <c:v>44136</c:v>
                </c:pt>
                <c:pt idx="1">
                  <c:v>44105</c:v>
                </c:pt>
                <c:pt idx="2">
                  <c:v>44075</c:v>
                </c:pt>
                <c:pt idx="3">
                  <c:v>44044</c:v>
                </c:pt>
                <c:pt idx="4">
                  <c:v>44013</c:v>
                </c:pt>
                <c:pt idx="5">
                  <c:v>43983</c:v>
                </c:pt>
                <c:pt idx="6">
                  <c:v>43952</c:v>
                </c:pt>
                <c:pt idx="7">
                  <c:v>43922</c:v>
                </c:pt>
                <c:pt idx="8">
                  <c:v>43891</c:v>
                </c:pt>
                <c:pt idx="9">
                  <c:v>43862</c:v>
                </c:pt>
                <c:pt idx="10">
                  <c:v>43831</c:v>
                </c:pt>
                <c:pt idx="11">
                  <c:v>43800</c:v>
                </c:pt>
                <c:pt idx="12">
                  <c:v>43770</c:v>
                </c:pt>
                <c:pt idx="13">
                  <c:v>43739</c:v>
                </c:pt>
              </c:numCache>
            </c:numRef>
          </c:cat>
          <c:val>
            <c:numRef>
              <c:f>Planilha1!$J$2:$J$15</c:f>
              <c:numCache>
                <c:formatCode>0.00</c:formatCode>
                <c:ptCount val="14"/>
                <c:pt idx="0">
                  <c:v>5.6319999999999997</c:v>
                </c:pt>
                <c:pt idx="1">
                  <c:v>5.617</c:v>
                </c:pt>
                <c:pt idx="2">
                  <c:v>5.5050000000000008</c:v>
                </c:pt>
                <c:pt idx="3">
                  <c:v>4.8449999999999998</c:v>
                </c:pt>
                <c:pt idx="4">
                  <c:v>4.165</c:v>
                </c:pt>
                <c:pt idx="5">
                  <c:v>4.5400000000000009</c:v>
                </c:pt>
                <c:pt idx="6">
                  <c:v>4.6100000000000003</c:v>
                </c:pt>
                <c:pt idx="7">
                  <c:v>4.625</c:v>
                </c:pt>
                <c:pt idx="8">
                  <c:v>4.245000000000001</c:v>
                </c:pt>
                <c:pt idx="9">
                  <c:v>2.5350000000000001</c:v>
                </c:pt>
                <c:pt idx="10">
                  <c:v>2.2249999999999996</c:v>
                </c:pt>
                <c:pt idx="11">
                  <c:v>2.2000000000000002</c:v>
                </c:pt>
                <c:pt idx="12">
                  <c:v>2.1499999999999995</c:v>
                </c:pt>
                <c:pt idx="13">
                  <c:v>1.8999999999999995</c:v>
                </c:pt>
              </c:numCache>
            </c:numRef>
          </c:val>
          <c:smooth val="0"/>
          <c:extLst>
            <c:ext xmlns:c16="http://schemas.microsoft.com/office/drawing/2014/chart" uri="{C3380CC4-5D6E-409C-BE32-E72D297353CC}">
              <c16:uniqueId val="{00000001-5028-4905-ACB7-E3402805F483}"/>
            </c:ext>
          </c:extLst>
        </c:ser>
        <c:dLbls>
          <c:showLegendKey val="0"/>
          <c:showVal val="0"/>
          <c:showCatName val="0"/>
          <c:showSerName val="0"/>
          <c:showPercent val="0"/>
          <c:showBubbleSize val="0"/>
        </c:dLbls>
        <c:smooth val="0"/>
        <c:axId val="1083692432"/>
        <c:axId val="1073819552"/>
      </c:lineChart>
      <c:dateAx>
        <c:axId val="1083692432"/>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pt-BR"/>
          </a:p>
        </c:txPr>
        <c:crossAx val="1073819552"/>
        <c:crosses val="autoZero"/>
        <c:auto val="1"/>
        <c:lblOffset val="100"/>
        <c:baseTimeUnit val="months"/>
      </c:dateAx>
      <c:valAx>
        <c:axId val="107381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pt-BR"/>
          </a:p>
        </c:txPr>
        <c:crossAx val="1083692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pt-BR"/>
        </a:p>
      </c:txPr>
    </c:legend>
    <c:plotVisOnly val="1"/>
    <c:dispBlanksAs val="gap"/>
    <c:showDLblsOverMax val="0"/>
  </c:chart>
  <c:spPr>
    <a:noFill/>
    <a:ln w="9525" cap="flat" cmpd="sng" algn="ctr">
      <a:no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200">
                <a:solidFill>
                  <a:sysClr val="windowText" lastClr="000000"/>
                </a:solidFill>
              </a:rPr>
              <a:t>Gráfico</a:t>
            </a:r>
            <a:r>
              <a:rPr lang="pt-BR" sz="1200" baseline="0">
                <a:solidFill>
                  <a:sysClr val="windowText" lastClr="000000"/>
                </a:solidFill>
              </a:rPr>
              <a:t> 9: IPCA e Núcleos</a:t>
            </a:r>
          </a:p>
          <a:p>
            <a:pPr>
              <a:defRPr/>
            </a:pPr>
            <a:r>
              <a:rPr lang="pt-BR" sz="1000" baseline="0">
                <a:solidFill>
                  <a:sysClr val="windowText" lastClr="000000"/>
                </a:solidFill>
              </a:rPr>
              <a:t>Fonte: MCM Consultores</a:t>
            </a:r>
            <a:r>
              <a:rPr lang="pt-BR" sz="1000">
                <a:solidFill>
                  <a:sysClr val="windowText" lastClr="000000"/>
                </a:solidFill>
              </a:rPr>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Planilha1!$B$1</c:f>
              <c:strCache>
                <c:ptCount val="1"/>
                <c:pt idx="0">
                  <c:v>Mês a Mês</c:v>
                </c:pt>
              </c:strCache>
            </c:strRef>
          </c:tx>
          <c:spPr>
            <a:ln w="28575" cap="rnd">
              <a:solidFill>
                <a:schemeClr val="accent1"/>
              </a:solidFill>
              <a:round/>
            </a:ln>
            <a:effectLst/>
          </c:spPr>
          <c:marker>
            <c:symbol val="none"/>
          </c:marker>
          <c:cat>
            <c:numRef>
              <c:f>Planilha1!$A$2:$A$14</c:f>
              <c:numCache>
                <c:formatCode>mmm\-yy</c:formatCode>
                <c:ptCount val="13"/>
                <c:pt idx="0">
                  <c:v>43739</c:v>
                </c:pt>
                <c:pt idx="1">
                  <c:v>43770</c:v>
                </c:pt>
                <c:pt idx="2">
                  <c:v>43800</c:v>
                </c:pt>
                <c:pt idx="3">
                  <c:v>43831</c:v>
                </c:pt>
                <c:pt idx="4">
                  <c:v>43862</c:v>
                </c:pt>
                <c:pt idx="5">
                  <c:v>43891</c:v>
                </c:pt>
                <c:pt idx="6">
                  <c:v>43922</c:v>
                </c:pt>
                <c:pt idx="7">
                  <c:v>43952</c:v>
                </c:pt>
                <c:pt idx="8">
                  <c:v>43983</c:v>
                </c:pt>
                <c:pt idx="9">
                  <c:v>44013</c:v>
                </c:pt>
                <c:pt idx="10">
                  <c:v>44044</c:v>
                </c:pt>
                <c:pt idx="11">
                  <c:v>44075</c:v>
                </c:pt>
                <c:pt idx="12">
                  <c:v>44105</c:v>
                </c:pt>
              </c:numCache>
            </c:numRef>
          </c:cat>
          <c:val>
            <c:numRef>
              <c:f>Planilha1!$B$2:$B$14</c:f>
              <c:numCache>
                <c:formatCode>0.00</c:formatCode>
                <c:ptCount val="13"/>
                <c:pt idx="0">
                  <c:v>4.1338076585321097E-3</c:v>
                </c:pt>
                <c:pt idx="1">
                  <c:v>0.452075865632657</c:v>
                </c:pt>
                <c:pt idx="2">
                  <c:v>1.0596312646952699</c:v>
                </c:pt>
                <c:pt idx="3">
                  <c:v>0.146577317659002</c:v>
                </c:pt>
                <c:pt idx="4">
                  <c:v>0.128050410616809</c:v>
                </c:pt>
                <c:pt idx="5">
                  <c:v>7.4105211692743894E-2</c:v>
                </c:pt>
                <c:pt idx="6">
                  <c:v>-0.25650137913917997</c:v>
                </c:pt>
                <c:pt idx="7">
                  <c:v>-0.25942937222874501</c:v>
                </c:pt>
                <c:pt idx="8">
                  <c:v>0.34522539461679103</c:v>
                </c:pt>
                <c:pt idx="9">
                  <c:v>0.35648115085389498</c:v>
                </c:pt>
                <c:pt idx="10">
                  <c:v>0.34510286920112598</c:v>
                </c:pt>
                <c:pt idx="11">
                  <c:v>0.70150704585998602</c:v>
                </c:pt>
                <c:pt idx="12">
                  <c:v>0.75853681498635706</c:v>
                </c:pt>
              </c:numCache>
            </c:numRef>
          </c:val>
          <c:smooth val="0"/>
          <c:extLst>
            <c:ext xmlns:c16="http://schemas.microsoft.com/office/drawing/2014/chart" uri="{C3380CC4-5D6E-409C-BE32-E72D297353CC}">
              <c16:uniqueId val="{00000000-611A-4B87-8C2C-B08E20F2C204}"/>
            </c:ext>
          </c:extLst>
        </c:ser>
        <c:ser>
          <c:idx val="1"/>
          <c:order val="1"/>
          <c:tx>
            <c:strRef>
              <c:f>Planilha1!$C$1</c:f>
              <c:strCache>
                <c:ptCount val="1"/>
                <c:pt idx="0">
                  <c:v>MM3M Anualizada dos 5 núcleos acompanhados pelo BCB</c:v>
                </c:pt>
              </c:strCache>
            </c:strRef>
          </c:tx>
          <c:spPr>
            <a:ln w="28575" cap="rnd">
              <a:solidFill>
                <a:schemeClr val="accent2"/>
              </a:solidFill>
              <a:round/>
            </a:ln>
            <a:effectLst/>
          </c:spPr>
          <c:marker>
            <c:symbol val="none"/>
          </c:marker>
          <c:cat>
            <c:numRef>
              <c:f>Planilha1!$A$2:$A$14</c:f>
              <c:numCache>
                <c:formatCode>mmm\-yy</c:formatCode>
                <c:ptCount val="13"/>
                <c:pt idx="0">
                  <c:v>43739</c:v>
                </c:pt>
                <c:pt idx="1">
                  <c:v>43770</c:v>
                </c:pt>
                <c:pt idx="2">
                  <c:v>43800</c:v>
                </c:pt>
                <c:pt idx="3">
                  <c:v>43831</c:v>
                </c:pt>
                <c:pt idx="4">
                  <c:v>43862</c:v>
                </c:pt>
                <c:pt idx="5">
                  <c:v>43891</c:v>
                </c:pt>
                <c:pt idx="6">
                  <c:v>43922</c:v>
                </c:pt>
                <c:pt idx="7">
                  <c:v>43952</c:v>
                </c:pt>
                <c:pt idx="8">
                  <c:v>43983</c:v>
                </c:pt>
                <c:pt idx="9">
                  <c:v>44013</c:v>
                </c:pt>
                <c:pt idx="10">
                  <c:v>44044</c:v>
                </c:pt>
                <c:pt idx="11">
                  <c:v>44075</c:v>
                </c:pt>
                <c:pt idx="12">
                  <c:v>44105</c:v>
                </c:pt>
              </c:numCache>
            </c:numRef>
          </c:cat>
          <c:val>
            <c:numRef>
              <c:f>Planilha1!$C$2:$C$14</c:f>
              <c:numCache>
                <c:formatCode>0.0</c:formatCode>
                <c:ptCount val="13"/>
                <c:pt idx="0">
                  <c:v>2.6325104024682759</c:v>
                </c:pt>
                <c:pt idx="1">
                  <c:v>2.5885420616279875</c:v>
                </c:pt>
                <c:pt idx="2">
                  <c:v>3.4147288555966782</c:v>
                </c:pt>
                <c:pt idx="3">
                  <c:v>3.3378247447031812</c:v>
                </c:pt>
                <c:pt idx="4">
                  <c:v>3.0683220229554906</c:v>
                </c:pt>
                <c:pt idx="5">
                  <c:v>2.1230166327997866</c:v>
                </c:pt>
                <c:pt idx="6">
                  <c:v>1.3778942308818614</c:v>
                </c:pt>
                <c:pt idx="7">
                  <c:v>0.48940232372305559</c:v>
                </c:pt>
                <c:pt idx="8">
                  <c:v>0.48391015754476141</c:v>
                </c:pt>
                <c:pt idx="9">
                  <c:v>1.0579925193047841</c:v>
                </c:pt>
                <c:pt idx="10">
                  <c:v>1.780195867823221</c:v>
                </c:pt>
                <c:pt idx="11">
                  <c:v>2.6122993980481537</c:v>
                </c:pt>
                <c:pt idx="12">
                  <c:v>3.9885468482647126</c:v>
                </c:pt>
              </c:numCache>
            </c:numRef>
          </c:val>
          <c:smooth val="0"/>
          <c:extLst>
            <c:ext xmlns:c16="http://schemas.microsoft.com/office/drawing/2014/chart" uri="{C3380CC4-5D6E-409C-BE32-E72D297353CC}">
              <c16:uniqueId val="{00000001-611A-4B87-8C2C-B08E20F2C204}"/>
            </c:ext>
          </c:extLst>
        </c:ser>
        <c:dLbls>
          <c:showLegendKey val="0"/>
          <c:showVal val="0"/>
          <c:showCatName val="0"/>
          <c:showSerName val="0"/>
          <c:showPercent val="0"/>
          <c:showBubbleSize val="0"/>
        </c:dLbls>
        <c:smooth val="0"/>
        <c:axId val="1398129952"/>
        <c:axId val="1312486576"/>
      </c:lineChart>
      <c:dateAx>
        <c:axId val="1398129952"/>
        <c:scaling>
          <c:orientation val="minMax"/>
        </c:scaling>
        <c:delete val="0"/>
        <c:axPos val="b"/>
        <c:numFmt formatCode="mmm\-yy"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crossAx val="1312486576"/>
        <c:crosses val="autoZero"/>
        <c:auto val="1"/>
        <c:lblOffset val="100"/>
        <c:baseTimeUnit val="months"/>
      </c:dateAx>
      <c:valAx>
        <c:axId val="13124865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crossAx val="139812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legend>
    <c:plotVisOnly val="1"/>
    <c:dispBlanksAs val="gap"/>
    <c:showDLblsOverMax val="0"/>
  </c:chart>
  <c:spPr>
    <a:noFill/>
    <a:ln w="9525" cap="flat" cmpd="sng" algn="ctr">
      <a:no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9</Pages>
  <Words>2232</Words>
  <Characters>12057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Ortiz Cruceno</dc:creator>
  <cp:keywords/>
  <dc:description/>
  <cp:lastModifiedBy>Alejandro Ortiz Cruceno</cp:lastModifiedBy>
  <cp:revision>45</cp:revision>
  <dcterms:created xsi:type="dcterms:W3CDTF">2020-12-02T14:01:00Z</dcterms:created>
  <dcterms:modified xsi:type="dcterms:W3CDTF">2020-12-06T17:53:00Z</dcterms:modified>
</cp:coreProperties>
</file>