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>
          <w:b w:val="1"/>
          <w:bCs w:val="1"/>
          <w:smallCaps w:val="1"/>
          <w:color w:val="ff4b00"/>
          <w:sz w:val="50"/>
          <w:szCs w:val="50"/>
        </w:rPr>
      </w:pPr>
      <w:r w:rsidDel="00000000" w:rsidR="00000000" w:rsidRPr="00000000">
        <w:rPr>
          <w:b w:val="1"/>
          <w:bCs w:val="1"/>
          <w:smallCaps w:val="1"/>
          <w:color w:val="1a1a1a"/>
          <w:sz w:val="50"/>
          <w:szCs w:val="50"/>
          <w:rtl w:val="0"/>
        </w:rPr>
        <w:t xml:space="preserve">COLADA INFINITA por </w:t>
      </w:r>
      <w:r w:rsidDel="00000000" w:rsidR="00000000" w:rsidRPr="00000000">
        <w:rPr>
          <w:b w:val="1"/>
          <w:bCs w:val="1"/>
          <w:smallCaps w:val="1"/>
          <w:color w:val="b46cff"/>
          <w:sz w:val="50"/>
          <w:szCs w:val="50"/>
          <w:rtl w:val="0"/>
        </w:rPr>
        <w:t xml:space="preserve">COOKING</w:t>
      </w:r>
      <w:r w:rsidDel="00000000" w:rsidR="00000000" w:rsidRPr="00000000">
        <w:rPr>
          <w:b w:val="1"/>
          <w:bCs w:val="1"/>
          <w:smallCaps w:val="1"/>
          <w:color w:val="1a1a1a"/>
          <w:sz w:val="50"/>
          <w:szCs w:val="50"/>
          <w:rtl w:val="0"/>
        </w:rPr>
        <w:t xml:space="preserve"> </w:t>
      </w:r>
      <w:r w:rsidDel="00000000" w:rsidR="00000000" w:rsidRPr="00000000">
        <w:rPr>
          <w:b w:val="1"/>
          <w:bCs w:val="1"/>
          <w:smallCaps w:val="1"/>
          <w:color w:val="ff4b00"/>
          <w:sz w:val="50"/>
          <w:szCs w:val="50"/>
          <w:rtl w:val="0"/>
        </w:rPr>
        <w:t xml:space="preserve">ROOM</w:t>
      </w:r>
    </w:p>
    <w:p w:rsidR="00000000" w:rsidDel="00000000" w:rsidP="00000000" w:rsidRDefault="00000000" w:rsidRPr="00000000" w14:paraId="00000002">
      <w:pPr>
        <w:pBdr>
          <w:bottom w:color="1a1a1a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>
          <w:b w:val="1"/>
          <w:bCs w:val="1"/>
          <w:smallCaps w:val="1"/>
          <w:color w:val="1a1a1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1a1a"/>
          <w:sz w:val="28"/>
          <w:szCs w:val="28"/>
          <w:rtl w:val="0"/>
        </w:rPr>
        <w:t xml:space="preserve">COLADA INFINITA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Reunión trimestral — Sábado 1</w:t>
      </w:r>
      <w:r w:rsidDel="00000000" w:rsidR="00000000" w:rsidRPr="00000000">
        <w:rPr>
          <w:color w:val="888888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 de julio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Oscar Garcia 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· Alex Sala  |  Guión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a1a1a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1fb" w:val="clear"/>
            <w:tcMar>
              <w:top w:w="120.0" w:type="dxa"/>
              <w:left w:w="12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fa5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f1fb" w:val="clear"/>
            <w:tcMar>
              <w:top w:w="10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La mirada atrás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fa5"/>
                <w:sz w:val="18"/>
                <w:szCs w:val="18"/>
                <w:rtl w:val="0"/>
              </w:rPr>
              <w:t xml:space="preserve">[Retrospectiva]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   ~40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a5fa5"/>
          <w:sz w:val="19"/>
          <w:szCs w:val="19"/>
          <w:rtl w:val="0"/>
        </w:rPr>
        <w:t xml:space="preserve">Revisión del último trimestre — qué se hizo, qué falló, qué mejorar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Repaso de sprints ejecutados: hitos cumplidos vs. planificados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Velocidad real del equipo (GDD completado, assets entregados, mecánicas integradas)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Fricciones y cuellos de botella detectados (sincronías, herramientas, metodología)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Puntos de mejora concretos para el siguiente 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Validación de la metodología sprint dominical — ¿seguimos igual o ajustamos?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480" w:hanging="240"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Definir qué es «éxito»: umbrales de ventas, wishlists, rating, revenue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480" w:hanging="240"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Escenarios: éxito moderado / viral / fracaso — ¿qué hacemos en cada caso?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480" w:hanging="240"/>
        <w:rPr>
          <w:color w:val="444444"/>
          <w:sz w:val="20"/>
          <w:szCs w:val="20"/>
          <w:u w:val="none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Revisar casos de EXITO y de No tan EXITO para aprender de ello</w:t>
      </w:r>
    </w:p>
    <w:p w:rsidR="00000000" w:rsidDel="00000000" w:rsidP="00000000" w:rsidRDefault="00000000" w:rsidRPr="00000000" w14:paraId="0000001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120.0" w:type="dxa"/>
              <w:left w:w="12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4a0a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eeda" w:val="clear"/>
            <w:tcMar>
              <w:top w:w="10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El envoltorio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a4a0a"/>
                <w:sz w:val="18"/>
                <w:szCs w:val="18"/>
                <w:rtl w:val="0"/>
              </w:rPr>
              <w:t xml:space="preserve">[CRÍTICO — Marketing]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   ~60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a4a0a"/>
          <w:sz w:val="19"/>
          <w:szCs w:val="19"/>
          <w:rtl w:val="0"/>
        </w:rPr>
        <w:t xml:space="preserve">Identidad visual y presencia pública — actualmente en cero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Identidad en redes, abertura de redes sociales y de que manera (Dominio y correo corporativo)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Steam Next Fest: fechas objetivo, requisitos de elegibilidad y qué necesitamos tener listo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Redes sociales: qué plataformas priorizamos (Twitter/X, TikTok, YouTube), plan de contenido mínimo viable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Demo-Tutorial: decisión sobre su estructura, scope y cuándo puede estar lista antes del lanzamiento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Roadmap de marketing simplificado: hitos de comunicación pública de hoy a abril '27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Responsable de cada canal y frecuencia mínima de publicación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120.0" w:type="dxa"/>
              <w:left w:w="12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a5a10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3de" w:val="clear"/>
            <w:tcMar>
              <w:top w:w="10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El GDD vivo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a5a10"/>
                <w:sz w:val="18"/>
                <w:szCs w:val="18"/>
                <w:rtl w:val="0"/>
              </w:rPr>
              <w:t xml:space="preserve">[Diseño]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   ~50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a5a10"/>
          <w:sz w:val="19"/>
          <w:szCs w:val="19"/>
          <w:rtl w:val="0"/>
        </w:rPr>
        <w:t xml:space="preserve">Revisión colectiva del GDD v5 — qué entra, qué sale, qué prioridad tiene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Lectura conjunta de apartados actuales del GDD (repaso rápido sección por sección)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Propuestas de cada uno: añadir o eliminar mecánicas /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Sistema de prioridades: Must Have / Should Have / Nice to Have / Descartable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Definir el núcleo duro: lo que SÍ o SÍ debe estar en la build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Marcar lo que queda fuera si el tiempo no da (scope cut acordado)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Cierre con GDD v6 provisional —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redacción en el acto in situ.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120.0" w:type="dxa"/>
              <w:left w:w="12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edfe" w:val="clear"/>
            <w:tcMar>
              <w:top w:w="10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El mapa al April '27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c3489"/>
                <w:sz w:val="18"/>
                <w:szCs w:val="18"/>
                <w:rtl w:val="0"/>
              </w:rPr>
              <w:t xml:space="preserve">[Roadmap]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   ~50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c3489"/>
          <w:sz w:val="19"/>
          <w:szCs w:val="19"/>
          <w:rtl w:val="0"/>
        </w:rPr>
        <w:t xml:space="preserve">Planificación detallada en papel A3 con etiquetas — semana / mes / trimestre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Montar el tablero físico A3: eje temporal de julio '26 a abril '27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Pegar etiquetas por bloque: arte, código, marketing, legal/admin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Definir hitos fijos inamovibles (Next Fest, Early Access, lanzamiento)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Repartir trabajo por semanas según velocidad real establecida en el bloque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Identificar semanas críticas con riesgo (fechas laborales, vacaciones, imprevistos)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Fotografiar el A3 al final para digitalizar como referencia 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beaf0" w:val="clear"/>
            <w:tcMar>
              <w:top w:w="120.0" w:type="dxa"/>
              <w:left w:w="12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243e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beaf0" w:val="clear"/>
            <w:tcMar>
              <w:top w:w="10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El campamento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243e"/>
                <w:sz w:val="18"/>
                <w:szCs w:val="18"/>
                <w:rtl w:val="0"/>
              </w:rPr>
              <w:t xml:space="preserve">[Propuesta]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   ~20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6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2243e"/>
          <w:sz w:val="19"/>
          <w:szCs w:val="19"/>
          <w:rtl w:val="0"/>
        </w:rPr>
        <w:t xml:space="preserve">Semana de trabajo presencial conjunto — finales Q2 o principios Q3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Propuesta: alquiler de casa compartida durante un sprint de una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Ventana sugerida: finales Q2 / principios Q3 (a concretar en el roadmap del bloque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Criterio de go/no-go: qué tiene que haberse completado para que valga la pena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Logística básica: ubicación, costes, quién organiza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Objetivos concretos de la semana de campamento (deliverable mínimo que justifique el esfuerzo)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20.0" w:type="dxa"/>
              <w:left w:w="120.0" w:type="dxa"/>
              <w:bottom w:w="8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504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1f5ee" w:val="clear"/>
            <w:tcMar>
              <w:top w:w="10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El caso de éxito y el contrato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85041"/>
                <w:sz w:val="18"/>
                <w:szCs w:val="18"/>
                <w:rtl w:val="0"/>
              </w:rPr>
              <w:t xml:space="preserve">[Legal / Estrategia]</w:t>
            </w: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     ~40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before="60" w:lineRule="auto"/>
        <w:ind w:left="2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85041"/>
          <w:sz w:val="19"/>
          <w:szCs w:val="19"/>
          <w:rtl w:val="0"/>
        </w:rPr>
        <w:t xml:space="preserve">Medir el éxito, capacidad de reacción y firma del acuerdo de colaboración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Capacidad de reacción: parches, DLC, segunda edición, sequel — quién decide y cómo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Repaso del borrador del acuerdo de colaboración (50/50, roles, IPs)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Ajustes finales al contrato si los hay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Firma del acuerdo — documento físico o digital con valor de buena 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cccccc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888888"/>
                <w:sz w:val="18"/>
                <w:szCs w:val="18"/>
                <w:rtl w:val="0"/>
              </w:rPr>
              <w:t xml:space="preserve">⏱ Duración total: ~4h 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📍 Presencial — </w:t>
            </w: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Tarragona capital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📄 Llevar: GDD impreso · A3 + etiquetas · contrato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