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140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b/>
          <w:color w:val="0F52BA"/>
          <w:spacing w:val="0"/>
          <w:position w:val="0"/>
          <w:sz w:val="20"/>
          <w:shd w:fill="auto" w:val="clear"/>
        </w:rPr>
        <w:t xml:space="preserve">PREENTREGA COMPLETA + ÚLTIMA ENTREGA PARCIAL</w:t>
      </w:r>
    </w:p>
    <w:p>
      <w:pPr>
        <w:spacing w:before="260" w:after="120" w:line="240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5"/>
          <w:position w:val="0"/>
          <w:sz w:val="64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5"/>
          <w:position w:val="0"/>
          <w:sz w:val="64"/>
          <w:shd w:fill="auto" w:val="clear"/>
        </w:rPr>
        <w:t xml:space="preserve">Documentación del sistema</w:t>
      </w:r>
    </w:p>
    <w:p>
      <w:pPr>
        <w:spacing w:before="0" w:after="36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5A6475"/>
          <w:spacing w:val="0"/>
          <w:position w:val="0"/>
          <w:sz w:val="30"/>
          <w:shd w:fill="auto" w:val="clear"/>
        </w:rPr>
        <w:t xml:space="preserve">Tienda online de indumentaria · análisis, diseño, arquitectura y estado de entrega</w:t>
      </w:r>
    </w:p>
    <w:tbl>
      <w:tblPr/>
      <w:tblGrid>
        <w:gridCol w:w="9878"/>
      </w:tblGrid>
      <w:tr>
        <w:trPr>
          <w:trHeight w:val="1" w:hRule="atLeast"/>
          <w:jc w:val="left"/>
        </w:trPr>
        <w:tc>
          <w:tcPr>
            <w:tcW w:w="987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60" w:after="160" w:line="276"/>
              <w:ind w:right="0" w:left="0" w:firstLine="0"/>
              <w:jc w:val="left"/>
              <w:rPr>
                <w:rFonts w:ascii="Aptos" w:hAnsi="Aptos" w:cs="Aptos" w:eastAsia="Aptos"/>
                <w:color w:val="263244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ptos" w:hAnsi="Aptos" w:cs="Aptos" w:eastAsia="Aptos"/>
                <w:b/>
                <w:color w:val="7FA6FF"/>
                <w:spacing w:val="0"/>
                <w:position w:val="0"/>
                <w:sz w:val="18"/>
                <w:shd w:fill="auto" w:val="clear"/>
              </w:rPr>
              <w:t xml:space="preserve">EQUIPO DE DESARROLLO</w:t>
            </w:r>
          </w:p>
          <w:p>
            <w:pPr>
              <w:spacing w:before="0" w:after="120" w:line="276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Pedro Wanglin  ·  Alejandro Sarmiento  ·  Alex Nuñes</w:t>
            </w:r>
          </w:p>
        </w:tc>
      </w:tr>
    </w:tbl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i/>
          <w:color w:val="5A6475"/>
          <w:spacing w:val="0"/>
          <w:position w:val="0"/>
          <w:sz w:val="18"/>
          <w:shd w:fill="auto" w:val="clear"/>
        </w:rPr>
        <w:t xml:space="preserve">Fecha de preparación: 29 de octubre de 2026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 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Control del documento</w:t>
      </w:r>
    </w:p>
    <w:tbl>
      <w:tblPr/>
      <w:tblGrid>
        <w:gridCol w:w="4939"/>
        <w:gridCol w:w="4939"/>
      </w:tblGrid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Proyecto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ViroFenix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Tipo de documento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Documentación funcional y técnica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Versión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1.0 </w:t>
            </w:r>
            <w:r>
              <w:rPr>
                <w:rFonts w:ascii="Calibri" w:hAnsi="Calibri" w:cs="Calibri" w:eastAsia="Calibri"/>
                <w:color w:val="263244"/>
                <w:spacing w:val="0"/>
                <w:position w:val="0"/>
                <w:sz w:val="18"/>
                <w:shd w:fill="auto" w:val="clear"/>
              </w:rPr>
              <w:t xml:space="preserve">—</w:t>
            </w:r>
            <w:r>
              <w:rPr>
                <w:rFonts w:ascii="Calibri" w:hAnsi="Calibri" w:cs="Calibri" w:eastAsia="Calibri"/>
                <w:color w:val="263244"/>
                <w:spacing w:val="0"/>
                <w:position w:val="0"/>
                <w:sz w:val="18"/>
                <w:shd w:fill="auto" w:val="clear"/>
              </w:rPr>
              <w:t xml:space="preserve"> borrador acad</w:t>
            </w: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émico basado en el código entregado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Equipo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Pedro Wanglin, Alejandro Sarmiento y Alex Nuñes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Stack 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React, Vite, Node.js, Express, Sequelize y MySQL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Objetivo académico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Documentar el estado funcional existente y orientar la finalización de la entrega</w:t>
            </w:r>
          </w:p>
        </w:tc>
      </w:tr>
    </w:tbl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Índice de contenidos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1. Resumen ejecutivo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2. Objetivos y alcance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3. Usuarios y roles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4. Funcionalidades implementadas en el código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5. Arquitectura y tecnologías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6. Organización del proyecto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7. Modelo de datos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8. Interfaces y navegación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9. Seguridad y manejo de datos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10. Instalación y ejecución local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11. Pruebas y criterios de aceptación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12. Estado de avance y última entrega parcial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13. Riesgos, limitaciones y trabajo pendiente</w:t>
      </w:r>
    </w:p>
    <w:p>
      <w:pPr>
        <w:numPr>
          <w:ilvl w:val="0"/>
          <w:numId w:val="2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14. Conclusión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1. Resumen ejecutivo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ViroFenix es una aplicación web de comercio electrónico orientada a la presentación y venta de indumentaria. El sitio combina una interfaz de catálogo y contenido institucional con un servidor API y una base de datos relacional. El cliente está construido con React y React Router; el servidor utiliza Node.js con Express y Sequelize para comunicarse con MySQL.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La revisión del archivo del proyecto confirma la existencia de páginas para inicio, colección, detalle de producto, carrito, checkout, autenticación, perfil, pedidos, contacto, preguntas frecuentes y paneles administrativos. La presencia de código no garantiza por sí sola que cada función esté probada en un entorno real; por eso este documento distingue entre funciones identificadas en el repositorio y verificaciones que el equipo debe completar.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2. Objetivos y alcance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  <w:t xml:space="preserve">Objetivo general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Desarrollar una tienda virtual con una experiencia visual coherente que permita explorar productos, gestionar una cuenta, armar un carrito y registrar pedidos, además de ofrecer herramientas administrativas para operar el catálogo, el stock, los pedidos y los usuarios.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  <w:t xml:space="preserve">Objetivos específicos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Mostrar colecciones y detalles de prendas con precio, imágenes, disponibilidad y categoría.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Permitir registro, inicio de sesión, recuperación de contraseña y administración del perfil.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Mantener el carrito asociado al usuario autenticado y permitir modificar cantidades o quitar productos.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Registrar pedidos y consultar su estado desde la cuenta del cliente.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Restringir las funciones administrativas a usuarios autorizados.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Ofrecer información institucional, contacto y preguntas frecuentes.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Mantener una separación entre interfaz, API, lógica de negocio y persistencia de datos.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  <w:t xml:space="preserve">Alcance funcional identificado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Incluye la experiencia de navegación de la tienda y las operaciones de usuario y administración implementadas en los archivos del proyecto. La integración de una pasarela de pago real, el despliegue productivo, las políticas legales definitivas y la validación exhaustiva de seguridad deben confirmarse por separado; no se consideran demostrados únicamente por la interfaz.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3. Usuarios y roles</w:t>
      </w:r>
    </w:p>
    <w:tbl>
      <w:tblPr/>
      <w:tblGrid>
        <w:gridCol w:w="3293"/>
        <w:gridCol w:w="3293"/>
        <w:gridCol w:w="3293"/>
      </w:tblGrid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Rol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Permisos/acciones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Acceso esperado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Visitante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Ver inicio, colección, productos, nosotros, contacto y FAQ; crear cuenta o iniciar sesión.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Páginas públicas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Cliente registrado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Gestionar perfil, carrito, checkout y consultar pedidos propios.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Rutas protegidas por autenticación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Administrador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Gestionar usuarios, pedidos y stock.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Rutas protegidas por token y middleware de administrador</w:t>
            </w:r>
          </w:p>
        </w:tc>
      </w:tr>
    </w:tbl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4. Funcionalidades implementadas en el código</w:t>
      </w:r>
    </w:p>
    <w:tbl>
      <w:tblPr/>
      <w:tblGrid>
        <w:gridCol w:w="4939"/>
        <w:gridCol w:w="4939"/>
      </w:tblGrid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Módulo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Descripción funcional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Inicio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Portada con banners, acceso a colección y carga de productos destacados o recientes.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Colección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Listado de productos, carga paginada de más artículos y acceso al detalle.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Detalle de producto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Consulta de información individual, selección de cantidad y acción para agregar al carrito.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Registro e inicio de sesión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Formularios de alta e ingreso; el contexto de autenticación mantiene la sesión de la interfaz.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Recuperación de contraseña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Vistas y rutas para solicitar recuperación y restablecer contraseña. El envío real de correo debe probarse en el entorno configurado.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Carrito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Consulta del carrito, actualización de cantidades y eliminación de productos.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Checkout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Formulario de datos de contacto/envío, validación de campos y creación del pedido; se muestra un resumen/recibo.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Perfil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Consulta y edición de datos; cambio de contraseña y solicitud de eliminación de cuenta.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Mis pedidos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Listado de pedidos del cliente con estado, fechas, dirección, productos y total.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Administración de usuarios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Listado, edición y eliminación de usuarios desde rutas administrativas.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Administración de pedidos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Consulta de pedidos y actualización de su estado dentro del flujo previsto.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Administración de stock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Consulta de stock y reposición de unidades.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Nosotros, contacto y FAQ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Contenido institucional, formulario que prepara un mensaje de correo y preguntas/políticas informativas.</w:t>
            </w:r>
          </w:p>
        </w:tc>
      </w:tr>
      <w:tr>
        <w:trPr>
          <w:trHeight w:val="1" w:hRule="atLeast"/>
          <w:jc w:val="left"/>
        </w:trPr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Diseño adaptable</w:t>
            </w:r>
          </w:p>
        </w:tc>
        <w:tc>
          <w:tcPr>
            <w:tcW w:w="4939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Estilos CSS separados por página/componentes; debe verificarse visualmente en resoluciones objetivo.</w:t>
            </w:r>
          </w:p>
        </w:tc>
      </w:tr>
    </w:tbl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5. Arquitectura y tecnologías</w:t>
      </w:r>
    </w:p>
    <w:tbl>
      <w:tblPr/>
      <w:tblGrid>
        <w:gridCol w:w="3293"/>
        <w:gridCol w:w="3293"/>
        <w:gridCol w:w="3293"/>
      </w:tblGrid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Capa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Tecnologías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Responsabilidad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Frontend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React 19, Vite, React Router, Axios, CSS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Pantallas, navegación, formularios, estados de interfaz y solicitudes HTTP.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Backend/API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Node.js, Express 5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Exposición de endpoints, controladores, validación y reglas de negocio.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Persistencia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MySQL y Sequelize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Modelos y operaciones de lectura/escritura de usuarios, productos, carritos y pedidos.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Autenticación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JSON Web Token (JWT), bcrypt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Verificación de sesión y hash de contraseñas según la lógica del servidor.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Recursos estáticos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Imágenes servidas desde el backend y archivos públicos del cliente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Banners, imágenes de prendas y recursos visuales.</w:t>
            </w:r>
          </w:p>
        </w:tc>
      </w:tr>
    </w:tbl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  <w:t xml:space="preserve">Flujo general de una operación</w:t>
      </w:r>
    </w:p>
    <w:p>
      <w:pPr>
        <w:numPr>
          <w:ilvl w:val="0"/>
          <w:numId w:val="9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El usuario interactúa con una página React.</w:t>
      </w:r>
    </w:p>
    <w:p>
      <w:pPr>
        <w:numPr>
          <w:ilvl w:val="0"/>
          <w:numId w:val="9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El servicio del frontend realiza una petición HTTP a la API.</w:t>
      </w:r>
    </w:p>
    <w:p>
      <w:pPr>
        <w:numPr>
          <w:ilvl w:val="0"/>
          <w:numId w:val="9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Express dirige la petición a la ruta correspondiente.</w:t>
      </w:r>
    </w:p>
    <w:p>
      <w:pPr>
        <w:numPr>
          <w:ilvl w:val="0"/>
          <w:numId w:val="9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Los middlewares comprueban autenticación y, cuando corresponde, rol administrativo.</w:t>
      </w:r>
    </w:p>
    <w:p>
      <w:pPr>
        <w:numPr>
          <w:ilvl w:val="0"/>
          <w:numId w:val="9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El controlador aplica la lógica de negocio y usa los modelos Sequelize.</w:t>
      </w:r>
    </w:p>
    <w:p>
      <w:pPr>
        <w:numPr>
          <w:ilvl w:val="0"/>
          <w:numId w:val="9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Se consulta o modifica MySQL y se devuelve una respuesta al frontend.</w:t>
      </w:r>
    </w:p>
    <w:p>
      <w:pPr>
        <w:numPr>
          <w:ilvl w:val="0"/>
          <w:numId w:val="95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La interfaz muestra el resultado o un mensaje de error.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6. Organización del proyecto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client/src/pages: pantallas principales del sitio y paneles.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client/src/components: componentes compartidos como navegación, pie, carrusel, modales y protección de rutas.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client/src/context: estado compartido de autenticación y carrito.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client/src/services: funciones Axios para comunicarse con la API.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client/src/assets/css: estilos organizados por módulo.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server/routes: definición de endpoints agrupados por dominio.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server/controllers: operaciones y lógica de cada módulo.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server/models: entidades Sequelize.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server/middlewares: validación de token y rol de administrador.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server/config/db.js: configuración de la conexión MySQL mediante variables de entorno.</w:t>
      </w:r>
    </w:p>
    <w:p>
      <w:pPr>
        <w:numPr>
          <w:ilvl w:val="0"/>
          <w:numId w:val="9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server/public/img: imágenes servidas por el backend.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7. Modelo de datos</w:t>
      </w:r>
    </w:p>
    <w:tbl>
      <w:tblPr/>
      <w:tblGrid>
        <w:gridCol w:w="3293"/>
        <w:gridCol w:w="3293"/>
        <w:gridCol w:w="3293"/>
      </w:tblGrid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Entidad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Datos principales identificados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Uso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Usuario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ID, nombre, apellido, email, hash de contraseña, rol, estado, intentos de acceso y datos de recuperación.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Cuenta, autenticación y administración.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Producto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ID, nombre, descripción, imagen, precio, stock actual/máximo, estado, destacado y categoría.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Catálogo y control de inventario.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Carrito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ID, usuario, estado y marcas temporales.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Agrupa la compra en curso de un cliente.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Detalle de carrito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ID, carrito, producto y cantidad.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Relaciona productos con el carrito.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Pedido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ID, usuario, total, estado, dirección, email y fechas de pago/envío/entrega.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Registra la compra y su seguimiento.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Detalle de pedido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Pedido, producto, cantidad y precio unitario.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Conserva los artículos y valores de cada pedido.</w:t>
            </w:r>
          </w:p>
        </w:tc>
      </w:tr>
    </w:tbl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8. Interfaces y navegación</w:t>
      </w:r>
    </w:p>
    <w:p>
      <w:pPr>
        <w:numPr>
          <w:ilvl w:val="0"/>
          <w:numId w:val="11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Barra de navegación y pie de página compartidos.</w:t>
      </w:r>
    </w:p>
    <w:p>
      <w:pPr>
        <w:numPr>
          <w:ilvl w:val="0"/>
          <w:numId w:val="11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Inicio con identidad de marca, banners y accesos a productos.</w:t>
      </w:r>
    </w:p>
    <w:p>
      <w:pPr>
        <w:numPr>
          <w:ilvl w:val="0"/>
          <w:numId w:val="11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Colección con tarjetas de producto y acceso al detalle.</w:t>
      </w:r>
    </w:p>
    <w:p>
      <w:pPr>
        <w:numPr>
          <w:ilvl w:val="0"/>
          <w:numId w:val="11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Formularios de acceso y cuenta con mensajes de validación.</w:t>
      </w:r>
    </w:p>
    <w:p>
      <w:pPr>
        <w:numPr>
          <w:ilvl w:val="0"/>
          <w:numId w:val="11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Carrito y checkout para revisar artículos y registrar un pedido.</w:t>
      </w:r>
    </w:p>
    <w:p>
      <w:pPr>
        <w:numPr>
          <w:ilvl w:val="0"/>
          <w:numId w:val="11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Área de cliente para perfil y pedidos.</w:t>
      </w:r>
    </w:p>
    <w:p>
      <w:pPr>
        <w:numPr>
          <w:ilvl w:val="0"/>
          <w:numId w:val="11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Panel administrativo separado por usuarios, pedidos y stock.</w:t>
      </w:r>
    </w:p>
    <w:p>
      <w:pPr>
        <w:numPr>
          <w:ilvl w:val="0"/>
          <w:numId w:val="117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Secciones institucionales: Nosotros, Contacto y FAQ.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La identidad visual usa una paleta clara con azul zafiro como acento, fondos claros, tipografía de títulos con carácter editorial y una tipografía sans serif para lectura. La implementación final debe mantener contraste suficiente, consistencia entre botones y formularios, y comportamiento correcto en móvil y escritorio.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9. Seguridad y manejo de datos</w:t>
      </w:r>
    </w:p>
    <w:p>
      <w:pPr>
        <w:numPr>
          <w:ilvl w:val="0"/>
          <w:numId w:val="120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Mantener las credenciales de base de datos y el secreto JWT en variables de entorno; nunca incluirlos en el repositorio ni en documentación compartida.</w:t>
      </w:r>
    </w:p>
    <w:p>
      <w:pPr>
        <w:numPr>
          <w:ilvl w:val="0"/>
          <w:numId w:val="120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No compartir archivos .env ni copias con contraseñas reales. El ZIP revisado contiene archivos de entorno: retirarlos del repositorio y rotar credenciales si fueran reales o se hubieran publicado.</w:t>
      </w:r>
    </w:p>
    <w:p>
      <w:pPr>
        <w:numPr>
          <w:ilvl w:val="0"/>
          <w:numId w:val="120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Usar contraseñas almacenadas como hash y comprobar que bcrypt se aplique en registro/cambio de contraseña.</w:t>
      </w:r>
    </w:p>
    <w:p>
      <w:pPr>
        <w:numPr>
          <w:ilvl w:val="0"/>
          <w:numId w:val="120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Validar los datos en el servidor, no solamente en los formularios del navegador.</w:t>
      </w:r>
    </w:p>
    <w:p>
      <w:pPr>
        <w:numPr>
          <w:ilvl w:val="0"/>
          <w:numId w:val="120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Proteger endpoints de cuenta, carrito, pedidos y administración mediante autenticación y autorización.</w:t>
      </w:r>
    </w:p>
    <w:p>
      <w:pPr>
        <w:numPr>
          <w:ilvl w:val="0"/>
          <w:numId w:val="120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No recopilar ni almacenar datos completos de tarjeta o CVV sin una pasarela compatible y controles adecuados. En producción, delegar el procesamiento a un proveedor de pagos.</w:t>
      </w:r>
    </w:p>
    <w:p>
      <w:pPr>
        <w:numPr>
          <w:ilvl w:val="0"/>
          <w:numId w:val="120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Configurar CORS para los dominios necesarios en cada ambiente; evitar dejar localhost como único origen en producción.</w:t>
      </w:r>
    </w:p>
    <w:p>
      <w:pPr>
        <w:numPr>
          <w:ilvl w:val="0"/>
          <w:numId w:val="120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Aplicar HTTPS, control de errores, registros sin datos sensibles, copias de seguridad y actualización de dependencias antes del despliegue.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10. Instalación y ejecución local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Requisitos orientativos: Node.js y npm compatibles con las dependencias del proyecto, MySQL disponible y una base de datos inicializada con el esquema requerido. Los comandos deben ejecutarse desde la carpeta indicada.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  <w:t xml:space="preserve">Preparar la base de datos</w:t>
      </w:r>
    </w:p>
    <w:p>
      <w:pPr>
        <w:numPr>
          <w:ilvl w:val="0"/>
          <w:numId w:val="124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Crear una base de datos MySQL para el proyecto.</w:t>
      </w:r>
    </w:p>
    <w:p>
      <w:pPr>
        <w:numPr>
          <w:ilvl w:val="0"/>
          <w:numId w:val="124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Importar el esquema/datos SQL acordes con los modelos; comprobar cuál de los archivos SQL del repositorio es la versión vigente.</w:t>
      </w:r>
    </w:p>
    <w:p>
      <w:pPr>
        <w:numPr>
          <w:ilvl w:val="0"/>
          <w:numId w:val="124"/>
        </w:numPr>
        <w:tabs>
          <w:tab w:val="left" w:pos="360" w:leader="none"/>
        </w:tabs>
        <w:spacing w:before="0" w:after="120" w:line="276"/>
        <w:ind w:right="0" w:left="360" w:hanging="36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Crear un archivo server/.env local a partir de variables de ejemplo seguras: DB_NAME, DB_USER, DB_PASSWORD, DB_HOST, PORT y el secreto JWT que utilice la aplicación.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  <w:t xml:space="preserve">Iniciar el servidor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Abrir una terminal en la carpeta server y ejecutar: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263244"/>
          <w:spacing w:val="0"/>
          <w:position w:val="0"/>
          <w:sz w:val="20"/>
          <w:shd w:fill="auto" w:val="clear"/>
        </w:rPr>
        <w:t xml:space="preserve">npm install</w:t>
        <w:br/>
        <w:t xml:space="preserve">npm run dev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El servidor está configurado para usar el puerto indicado en PORT o, si no existe, el 4000. La ruta raíz / devuelve un mensaje de estado.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0F52BA"/>
          <w:spacing w:val="0"/>
          <w:position w:val="0"/>
          <w:sz w:val="28"/>
          <w:shd w:fill="auto" w:val="clear"/>
        </w:rPr>
        <w:t xml:space="preserve">Iniciar el frontend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Abrir otra terminal en la carpeta client y ejecutar: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263244"/>
          <w:spacing w:val="0"/>
          <w:position w:val="0"/>
          <w:sz w:val="20"/>
          <w:shd w:fill="auto" w:val="clear"/>
        </w:rPr>
        <w:t xml:space="preserve">npm install</w:t>
        <w:br/>
        <w:t xml:space="preserve">npm run dev</w:t>
      </w:r>
    </w:p>
    <w:p>
      <w:pPr>
        <w:spacing w:before="0" w:after="120" w:line="276"/>
        <w:ind w:right="0" w:left="0" w:firstLine="0"/>
        <w:jc w:val="left"/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</w:pPr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Vite normalmente muestra la dirección local en la terminal (por defecto, </w:t>
      </w:r>
      <w:hyperlink xmlns:r="http://schemas.openxmlformats.org/officeDocument/2006/relationships" r:id="docRId0">
        <w:r>
          <w:rPr>
            <w:rFonts w:ascii="Aptos" w:hAnsi="Aptos" w:cs="Aptos" w:eastAsia="Aptos"/>
            <w:color w:val="263244"/>
            <w:spacing w:val="0"/>
            <w:position w:val="0"/>
            <w:sz w:val="20"/>
            <w:u w:val="single"/>
            <w:shd w:fill="auto" w:val="clear"/>
          </w:rPr>
          <w:t xml:space="preserve">http://localhost:5173</w:t>
        </w:r>
      </w:hyperlink>
      <w:r>
        <w:rPr>
          <w:rFonts w:ascii="Aptos" w:hAnsi="Aptos" w:cs="Aptos" w:eastAsia="Aptos"/>
          <w:color w:val="263244"/>
          <w:spacing w:val="0"/>
          <w:position w:val="0"/>
          <w:sz w:val="20"/>
          <w:shd w:fill="auto" w:val="clear"/>
        </w:rPr>
        <w:t xml:space="preserve">). Confirmar que la URL base configurada en los servicios Axios coincida con el backend en ejecución.</w:t>
      </w:r>
    </w:p>
    <w:p>
      <w:pPr>
        <w:keepNext w:val="true"/>
        <w:keepLines w:val="true"/>
        <w:spacing w:before="260" w:after="120" w:line="276"/>
        <w:ind w:right="0" w:left="0" w:firstLine="0"/>
        <w:jc w:val="left"/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B1220"/>
          <w:spacing w:val="0"/>
          <w:position w:val="0"/>
          <w:sz w:val="40"/>
          <w:shd w:fill="auto" w:val="clear"/>
        </w:rPr>
        <w:t xml:space="preserve">11. Pruebas y criterios de aceptación</w:t>
      </w:r>
    </w:p>
    <w:tbl>
      <w:tblPr/>
      <w:tblGrid>
        <w:gridCol w:w="3293"/>
        <w:gridCol w:w="3293"/>
        <w:gridCol w:w="3293"/>
      </w:tblGrid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Prueba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Criterio de aceptación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0b1220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FFFFFF"/>
                <w:spacing w:val="0"/>
                <w:position w:val="0"/>
                <w:sz w:val="18"/>
                <w:shd w:fill="auto" w:val="clear"/>
              </w:rPr>
              <w:t xml:space="preserve">Resultado del equipo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Navegación pública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Inicio, colección, detalle, Nosotros, Contacto y FAQ abren sin errores.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Registro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Datos válidos crean una cuenta; email duplicado o datos inválidos muestran un mensaje entendible.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Inicio de sesión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Credenciales válidas permiten entrar; inválidas no crean una sesión.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Permisos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Un visitante no accede a rutas privadas; un cliente no puede operar endpoints administrativos.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Catálogo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Productos, imágenes, precios y disponibilidad corresponden a la base de datos.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Carrito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Agregar, modificar cantidad y eliminar actualiza el resumen y el total correctamente.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Checkout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Con carrito y datos válidos se registra un pedido y se puede consultar después.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Perfil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Cambios válidos se guardan; errores se informan; eliminación exige confirmación.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Pedidos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Cada cliente ve solo sus pedidos; el estado cambia según permisos.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Stock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El administrador puede consultar y reponer stock con cantidades válidas.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Diseño adaptable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La navegación y formularios son utilizables en móvil, tablet y escritorio.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  <w:tr>
        <w:trPr>
          <w:trHeight w:val="1" w:hRule="atLeast"/>
          <w:jc w:val="left"/>
        </w:trPr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b/>
                <w:color w:val="0F52BA"/>
                <w:spacing w:val="0"/>
                <w:position w:val="0"/>
                <w:sz w:val="18"/>
                <w:shd w:fill="auto" w:val="clear"/>
              </w:rPr>
              <w:t xml:space="preserve">Seguridad básica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No se exponen secretos; no se guardan datos sensibles de tarjeta; rutas protegidas verificadas.</w:t>
            </w:r>
          </w:p>
        </w:tc>
        <w:tc>
          <w:tcPr>
            <w:tcW w:w="3293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2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Aptos" w:hAnsi="Aptos" w:cs="Aptos" w:eastAsia="Aptos"/>
                <w:color w:val="263244"/>
                <w:spacing w:val="0"/>
                <w:position w:val="0"/>
                <w:sz w:val="18"/>
                <w:shd w:fill="auto" w:val="clear"/>
              </w:rPr>
              <w:t xml:space="preserve">Pendiente de ejecutar y registrar</w:t>
            </w:r>
          </w:p>
        </w:tc>
      </w:tr>
    </w:tbl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7">
    <w:lvl w:ilvl="0">
      <w:start w:val="1"/>
      <w:numFmt w:val="decimal"/>
      <w:lvlText w:val="%1."/>
    </w:lvl>
  </w:abstractNum>
  <w:num w:numId="25">
    <w:abstractNumId w:val="24"/>
  </w:num>
  <w:num w:numId="31">
    <w:abstractNumId w:val="18"/>
  </w:num>
  <w:num w:numId="95">
    <w:abstractNumId w:val="7"/>
  </w:num>
  <w:num w:numId="97">
    <w:abstractNumId w:val="12"/>
  </w:num>
  <w:num w:numId="117">
    <w:abstractNumId w:val="6"/>
  </w:num>
  <w:num w:numId="120">
    <w:abstractNumId w:val="0"/>
  </w:num>
  <w:num w:numId="124">
    <w:abstractNumId w:val="1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://localhost:5173/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