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CPR-35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Creación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de registro de evento de ausencia exitosamente con fecha de inicio y fecha de fin de evento</w:t>
      </w: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Dado que se va a registrar un evento de ausencia en la tabla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employee_timeoff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Cuando se ingresa el id del empleado, el id del tipo de ausencia y comentario, fecha inicial y fecha final</w:t>
      </w:r>
    </w:p>
    <w:p w:rsidR="00000000" w:rsidDel="00000000" w:rsidP="00000000" w:rsidRDefault="00000000" w:rsidRPr="00000000" w14:paraId="0000000E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 deben tener dos registros en la tabla: uno con fecha de inicio y otro con fecha fin del evento.   </w:t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2286000"/>
            <wp:effectExtent b="0" l="0" r="0" t="0"/>
            <wp:docPr id="1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-952484</wp:posOffset>
          </wp:positionH>
          <wp:positionV relativeFrom="paragraph">
            <wp:posOffset>-457186</wp:posOffset>
          </wp:positionV>
          <wp:extent cx="7810500" cy="10086975"/>
          <wp:effectExtent b="0" l="0" r="0" t="0"/>
          <wp:wrapNone/>
          <wp:docPr id="1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FfDgt4gaoALDkCJa63xj1gHiGw==">CgMxLjA4AHIhMVZWNS00SWZMS3VIYXI5UHJoaG9wVEI4aV81Z01OUEpT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