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CPR-46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actualización exitosa de la tabla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employee_timeoff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indicando (Id, EmployeeId, AbsenceTypeId, Comments, StartDate, EndDate). El valor para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AbsenceTypeId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será el registrado en la BD por el desarrollador.</w:t>
      </w:r>
    </w:p>
    <w:p w:rsidR="00000000" w:rsidDel="00000000" w:rsidP="00000000" w:rsidRDefault="00000000" w:rsidRPr="00000000" w14:paraId="0000000C">
      <w:pPr>
        <w:shd w:fill="ffffff" w:val="clear"/>
        <w:spacing w:before="60" w:line="342.85714285714283" w:lineRule="auto"/>
        <w:ind w:left="720" w:right="-1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12, 1, “value1”, 10/06/2024, 17/07/2024</w:t>
      </w:r>
    </w:p>
    <w:p w:rsidR="00000000" w:rsidDel="00000000" w:rsidP="00000000" w:rsidRDefault="00000000" w:rsidRPr="00000000" w14:paraId="0000000D">
      <w:pPr>
        <w:shd w:fill="ffffff" w:val="clear"/>
        <w:spacing w:before="60" w:line="342.85714285714283" w:lineRule="auto"/>
        <w:ind w:left="720" w:right="-1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13, 1, “value1”, 30/06/2024, 05/07/2024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se asocia un evento a un empleado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agrega un evento initial training al empleado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1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se actualiza con el nuevo evento la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tabla </w:t>
      </w:r>
      <w:r w:rsidDel="00000000" w:rsidR="00000000" w:rsidRPr="00000000">
        <w:rPr>
          <w:i w:val="1"/>
          <w:color w:val="1f2328"/>
          <w:sz w:val="23"/>
          <w:szCs w:val="23"/>
          <w:rtl w:val="0"/>
        </w:rPr>
        <w:t xml:space="preserve">employee_timeoff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indicando (Id,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EmployeeId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AbsenceTypeId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, Comments, StartDate, EndDate).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124200"/>
            <wp:effectExtent b="0" l="0" r="0" t="0"/>
            <wp:docPr id="1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-952474</wp:posOffset>
          </wp:positionH>
          <wp:positionV relativeFrom="paragraph">
            <wp:posOffset>-457176</wp:posOffset>
          </wp:positionV>
          <wp:extent cx="7810500" cy="10086975"/>
          <wp:effectExtent b="0" l="0" r="0" t="0"/>
          <wp:wrapNone/>
          <wp:docPr id="1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LK0rvgEx8bX2ZDvK7R8A7CPjA==">CgMxLjA4AHIhMXRNVzZNUXFBaXFxdGpTRnJPMVVFWWhMemU1ai1ZZW8y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