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CPR-48 validacion exitosa de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la fecha "Date of Joining" debe ser menor a la fecha "Training End Date"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3"/>
          <w:szCs w:val="23"/>
          <w:rtl w:val="0"/>
        </w:rPr>
        <w:t xml:space="preserve">Que se va a gregar un nuevo empleado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Cuando: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Cuando se agregan los datos en el modal agregar nuevo empleado y se agrega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"Date of Joining"  mayor a la fecha "Training End 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4605338" cy="4175631"/>
            <wp:effectExtent b="0" l="0" r="0" t="0"/>
            <wp:docPr id="20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417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aparecer</w:t>
      </w:r>
      <w:r w:rsidDel="00000000" w:rsidR="00000000" w:rsidRPr="00000000">
        <w:rPr>
          <w:rtl w:val="0"/>
        </w:rPr>
        <w:t xml:space="preserve"> una nota “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End date must be after the date of joining”.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6265382"/>
            <wp:effectExtent b="0" l="0" r="0" t="0"/>
            <wp:docPr id="2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6265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Caso de prueba: exitoso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-952471</wp:posOffset>
          </wp:positionH>
          <wp:positionV relativeFrom="paragraph">
            <wp:posOffset>-457172</wp:posOffset>
          </wp:positionV>
          <wp:extent cx="7810500" cy="10086975"/>
          <wp:effectExtent b="0" l="0" r="0" t="0"/>
          <wp:wrapNone/>
          <wp:docPr id="20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YpBrjxY4mVpwO3mY5Y4nYW9Jvw==">CgMxLjA4AHIhMUdxUDNYZVdxN3pFNXl1MWNsQ3ROQktXM1Y2elBoaWVy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