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CPR-49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Se debe habilitar un endpoint de consumo en el back de los eventos de novedades de toda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el sistema está en funcionamiento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habilita el endpoint de consumo para eventos de novedades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540571"/>
            <wp:effectExtent b="0" l="0" r="0" t="0"/>
            <wp:docPr id="2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 el endpoint debe estar disponible en la URL "https://api.teamtrack.acc.op.quind.io/employee_timeoff/type_timeoff/".</w:t>
      </w:r>
    </w:p>
    <w:p w:rsidR="00000000" w:rsidDel="00000000" w:rsidP="00000000" w:rsidRDefault="00000000" w:rsidRPr="00000000" w14:paraId="00000014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el endpoint debe responder a solicitudes GET And la respuesta debe incluir un código de estado 200.</w:t>
      </w:r>
    </w:p>
    <w:p w:rsidR="00000000" w:rsidDel="00000000" w:rsidP="00000000" w:rsidRDefault="00000000" w:rsidRPr="00000000" w14:paraId="00000016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 And la respuesta debe contener una lista de eventos de novedades de toda la organización. </w:t>
      </w:r>
    </w:p>
    <w:p w:rsidR="00000000" w:rsidDel="00000000" w:rsidP="00000000" w:rsidRDefault="00000000" w:rsidRPr="00000000" w14:paraId="00000018">
      <w:pPr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ab/>
      </w: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6741265" cy="2549581"/>
            <wp:effectExtent b="0" l="0" r="0" t="0"/>
            <wp:docPr id="2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1265" cy="254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-952470</wp:posOffset>
          </wp:positionH>
          <wp:positionV relativeFrom="paragraph">
            <wp:posOffset>-457170</wp:posOffset>
          </wp:positionV>
          <wp:extent cx="7810500" cy="10086975"/>
          <wp:effectExtent b="0" l="0" r="0" t="0"/>
          <wp:wrapNone/>
          <wp:docPr id="20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ot44COllncxIY09Tehog4E7SQ==">CgMxLjA4AHIhMWo2NnhJdHJkSHdycGVFNFFlZE1BQV9vYmRadWlzb1Bk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