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EJERCICIOS COMMAND INJECTION Y WEBSHELL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Prerrequisitos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Máquina OWASP BWE levantada y Kali.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Ejercicio 1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Realizar el ejercicio de Command Injection en la máquina Mutillidae: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OWASP 2013 -&amp;gt; A1 - Injection (Other) -&amp;gt; Command Injection -&amp;gt; DNS Lookup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- 1.De manera manual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65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- 2.Utilizando la herramienta commix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33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- 3.Utilizando una webshell C99 (PHP)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Identificar: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Usuario del servicio lanzado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www-data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Ruta por defecto de la web de Mutillidae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/owaspwba/mutillidae-git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Si es administrador de la máquina o no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 lo es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Mapa de la web completa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46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4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9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095500" cy="1809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Si hay ficheros de configuración de la herramienta Mutillidae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1371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