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E8752A"/>
          <w:sz w:val="80"/>
        </w:rPr>
        <w:t>SUPERLIGA FRONTIER · TCG</w:t>
      </w:r>
    </w:p>
    <w:p>
      <w:pPr>
        <w:jc w:val="center"/>
      </w:pPr>
      <w:r>
        <w:rPr>
          <w:b/>
          <w:i w:val="0"/>
          <w:color w:val="181A1F"/>
          <w:sz w:val="40"/>
        </w:rPr>
        <w:t>BRAND IDENTITY BRIEFING</w:t>
      </w:r>
    </w:p>
    <w:p>
      <w:pPr>
        <w:jc w:val="center"/>
      </w:pPr>
      <w:r>
        <w:rPr>
          <w:b w:val="0"/>
          <w:i/>
          <w:color w:val="5A5D66"/>
          <w:sz w:val="26"/>
        </w:rPr>
        <w:t>Documento maestro de identidad de marca y dirección de diseño</w:t>
      </w:r>
    </w:p>
    <w:p/>
    <w:p/>
    <w:p>
      <w:pPr>
        <w:jc w:val="center"/>
      </w:pPr>
      <w:r>
        <w:rPr>
          <w:b w:val="0"/>
          <w:i w:val="0"/>
          <w:color w:val="5A5D66"/>
          <w:sz w:val="24"/>
        </w:rPr>
        <w:t>Evolución premium del universo Superliga Frontier — de coleccionable de comunidad a producto de referencia</w:t>
      </w:r>
    </w:p>
    <w:p/>
    <w:p/>
    <w:p/>
    <w:p/>
    <w:p/>
    <w:p/>
    <w:p>
      <w:pPr>
        <w:jc w:val="center"/>
      </w:pPr>
      <w:r>
        <w:rPr>
          <w:b w:val="0"/>
          <w:i w:val="0"/>
          <w:sz w:val="22"/>
        </w:rPr>
        <w:t>Preparado para Alejandro Suárez Campos</w:t>
      </w:r>
    </w:p>
    <w:p>
      <w:pPr>
        <w:jc w:val="center"/>
      </w:pPr>
      <w:r>
        <w:rPr>
          <w:b w:val="0"/>
          <w:i w:val="0"/>
          <w:color w:val="5A5D66"/>
          <w:sz w:val="22"/>
        </w:rPr>
        <w:t>Proyecto: Superliga Frontier TCG · superligafrontier.es</w:t>
      </w:r>
    </w:p>
    <w:p>
      <w:pPr>
        <w:jc w:val="center"/>
      </w:pPr>
      <w:r>
        <w:rPr>
          <w:b w:val="0"/>
          <w:i w:val="0"/>
          <w:color w:val="5A5D66"/>
          <w:sz w:val="22"/>
        </w:rPr>
        <w:t>4 de agosto de 2026</w:t>
      </w:r>
    </w:p>
    <w:p/>
    <w:p>
      <w:pPr>
        <w:jc w:val="center"/>
      </w:pPr>
      <w:r>
        <w:rPr>
          <w:b w:val="0"/>
          <w:i/>
          <w:color w:val="5A5D66"/>
          <w:sz w:val="18"/>
        </w:rPr>
        <w:t>Proyecto fan-made sin ánimo de lucro. Inazuma Eleven es propiedad de Level-5. No afiliado.</w:t>
      </w:r>
    </w:p>
    <w:p>
      <w:r>
        <w:br w:type="page"/>
      </w:r>
    </w:p>
    <w:p>
      <w:pPr>
        <w:pStyle w:val="Heading1"/>
      </w:pPr>
      <w:r>
        <w:t>Índice</w:t>
      </w:r>
    </w:p>
    <w:p>
      <w:r>
        <w:fldChar w:fldCharType="begin"/>
        <w:instrText xml:space="preserve">TOC \o "1-2" \h \z \u</w:instrText>
        <w:fldChar w:fldCharType="separate"/>
        <w:t>Índice — clic derecho sobre esta área y elige 'Actualizar campo' para generarlo.</w:t>
        <w:fldChar w:fldCharType="end"/>
      </w:r>
    </w:p>
    <w:p>
      <w:r>
        <w:br w:type="page"/>
      </w:r>
    </w:p>
    <w:p>
      <w:pPr>
        <w:pStyle w:val="Heading1"/>
      </w:pPr>
      <w:r>
        <w:t>Parte I — Fundamentos de marca</w:t>
      </w:r>
    </w:p>
    <w:p>
      <w:pPr>
        <w:pStyle w:val="Heading2"/>
      </w:pPr>
      <w:r>
        <w:rPr>
          <w:b/>
          <w:color w:val="E8752A"/>
        </w:rPr>
        <w:t xml:space="preserve">01. </w:t>
      </w:r>
      <w:r>
        <w:t>Resumen ejecutivo</w:t>
      </w:r>
    </w:p>
    <w:p>
      <w:r>
        <w:rPr>
          <w:b w:val="0"/>
          <w:i w:val="0"/>
        </w:rPr>
        <w:t>Superliga Frontier TCG es la extensión coleccionable del universo de Superliga Frontier, la liga fan-made de Inazuma Eleven: Victory Road. Ya existe una primera versión funcional — apertura de sobres, colección, álbum, mercado entre usuarios, perfil y panel de administración — construida sobre PHP/MariaDB, con una dirección visual inicial de negro de estadio nocturno y acento ámbar que contiene decisiones acertadas pero una ejecución que todavía no alcanza el nivel premium que el proyecto necesita para su siguiente etapa.</w:t>
      </w:r>
    </w:p>
    <w:p>
      <w:r>
        <w:rPr>
          <w:b w:val="0"/>
          <w:i w:val="0"/>
        </w:rPr>
        <w:t>Esa siguiente etapa amplía el producto con deck building al estilo Adrenalyn XL, misiones, minijuegos y duelos entre usuarios apostando monedas o cartas de la misma rareza. Este documento es la referencia de marca y diseño para reconstruir la interfaz de cero — sin miedo a eliminar lo existente — manteniendo dos anclas de continuidad deliberadas: el ámbar como color de firma, reinterpretado con más sofisticación, y dos guiños de humor interno ("Superruina Frontier" y "a ese Gonzalo le gano fácil") como folclore vivo de la comunidad, sin extenderlo a chistes sobre jugadores individuales.</w:t>
      </w:r>
    </w:p>
    <w:p>
      <w:r>
        <w:rPr>
          <w:b w:val="0"/>
          <w:i w:val="0"/>
        </w:rPr>
        <w:t>Todo lo demás — tipografía, sistema de tarjetas, dashboards, motion, accesibilidad — se rediseña desde cero con estándares de agencia (Apple, Vercel, Pokémon TCG Pocket, EA Sports FC) como techo de calidad. El proyecto lo ejecuta una sola persona, sin fecha de lanzamiento fija, con el arte de las cartas resuelto de forma externa. Por eso el documento prioriza un sistema de diseño reutilizable y escalable por fases sobre una reconstrucción de una sola vez.</w:t>
      </w:r>
    </w:p>
    <w:p>
      <w:pPr>
        <w:pStyle w:val="Heading2"/>
      </w:pPr>
      <w:r>
        <w:rPr>
          <w:b/>
          <w:color w:val="E8752A"/>
        </w:rPr>
        <w:t xml:space="preserve">02. </w:t>
      </w:r>
      <w:r>
        <w:t>Estrategia de marca</w:t>
      </w:r>
    </w:p>
    <w:p>
      <w:r>
        <w:rPr>
          <w:b w:val="0"/>
          <w:i w:val="0"/>
        </w:rPr>
        <w:t>La estrategia se apoya en un hecho que ningún competidor puede replicar: los "jugadores" de este TCG no son personajes de ficción con los que cualquier otro estudio también podría trabajar — son la propia comunidad. Presidentes de club, entrenadores, streamers y leyendas de la Superliga Frontier, inmortalizados como cartas junto a los jugadores canónicos de Inazuma Eleven: Victory Road.</w:t>
      </w:r>
    </w:p>
    <w:p>
      <w:r>
        <w:rPr>
          <w:b w:val="0"/>
          <w:i w:val="0"/>
        </w:rPr>
        <w:t>La estrategia consiste en tratar ese material con el mismo rigor visual que una editorial deportiva trata un palmarés real, en lugar de tratarlo como merchandising de fan-club. Cuanto más se acerque la ejecución a un producto de nivel EA Sports FC o Pokémon TCG Pocket, mayor es el valor percibido de cada carta, cada sobre y cada duelo — y más se distingue de otros proyectos fan-made de la escena de Inazuma Eleven, que compiten casi siempre en el terreno de lo aficionado.</w:t>
      </w:r>
    </w:p>
    <w:p>
      <w:pPr>
        <w:pStyle w:val="Heading2"/>
      </w:pPr>
      <w:r>
        <w:rPr>
          <w:b/>
          <w:color w:val="E8752A"/>
        </w:rPr>
        <w:t xml:space="preserve">03. </w:t>
      </w:r>
      <w:r>
        <w:t>Posicionamiento</w:t>
      </w:r>
    </w:p>
    <w:p>
      <w:r>
        <w:rPr>
          <w:b w:val="0"/>
          <w:i w:val="0"/>
        </w:rPr>
        <w:t>Superliga Frontier TCG se posiciona como el registro oficial y coleccionable de la competición más activa de la escena hispanohablante de Inazuma Eleven: Victory Road — no como "otro TCG de anime", sino como la vitrina de trofeos de una liga real que ya juega, gestiona fichajes con salary cap y reparte títulos cada temporada.</w:t>
      </w:r>
    </w:p>
    <w:p>
      <w:r>
        <w:rPr>
          <w:b w:val="0"/>
          <w:i w:val="0"/>
        </w:rPr>
        <w:t>Frente a TCGs de anime genéricos (ficticios, sin comunidad real detrás) y frente a otras ligas fan-made de Inazuma Eleven (sin ningún producto coleccionable equivalente), Superliga Frontier TCG ocupa un espacio sin competencia directa hoy: el único coleccionable digital construido sobre una comunidad competitiva real y activa.</w:t>
      </w:r>
    </w:p>
    <w:p>
      <w:pPr>
        <w:pStyle w:val="Heading2"/>
      </w:pPr>
      <w:r>
        <w:rPr>
          <w:b/>
          <w:color w:val="E8752A"/>
        </w:rPr>
        <w:t xml:space="preserve">04. </w:t>
      </w:r>
      <w:r>
        <w:t>Propuesta de valor</w:t>
      </w:r>
    </w:p>
    <w:p>
      <w:r>
        <w:rPr>
          <w:b w:val="0"/>
          <w:i w:val="0"/>
        </w:rPr>
        <w:t>Para los presidentes, mánagers y jugadores de la Superliga Frontier, este TCG convierte cada temporada — los fichajes, los goles, los memes internos, los títulos — en un objeto que se puede abrir, coleccionar, apostar y presumir. A diferencia de un TCG de ficción, cada carta tiene una historia real detrás para quien la posee; a diferencia de un producto comercial, es 100% gratuito y pensado únicamente para quienes ya forman parte del proyecto.</w:t>
      </w:r>
    </w:p>
    <w:p>
      <w:r>
        <w:rPr>
          <w:b w:val="0"/>
          <w:i w:val="0"/>
        </w:rPr>
        <w:t>La propuesta de valor no es "coleccionar personajes bonitos": es "poseer un fragmento verificable del palmarés de tu propia liga".</w:t>
      </w:r>
    </w:p>
    <w:p>
      <w:pPr>
        <w:pStyle w:val="Heading2"/>
      </w:pPr>
      <w:r>
        <w:rPr>
          <w:b/>
          <w:color w:val="E8752A"/>
        </w:rPr>
        <w:t xml:space="preserve">05. </w:t>
      </w:r>
      <w:r>
        <w:t>Visión</w:t>
      </w:r>
    </w:p>
    <w:p>
      <w:r>
        <w:rPr>
          <w:b w:val="0"/>
          <w:i w:val="0"/>
        </w:rPr>
        <w:t>Que Superliga Frontier TCG sea, dentro de la escena hispanohablante de Inazuma Eleven: Victory Road, la referencia de cómo debería sentirse un producto coleccionable fan-made — con un nivel de acabado que ninguna otra liga de la comunidad ha intentado, y que convierta cada nueva temporada de la Superliga en contenido nuevo del TCG de forma natural y sostenible.</w:t>
      </w:r>
    </w:p>
    <w:p>
      <w:pPr>
        <w:pStyle w:val="Heading2"/>
      </w:pPr>
      <w:r>
        <w:rPr>
          <w:b/>
          <w:color w:val="E8752A"/>
        </w:rPr>
        <w:t xml:space="preserve">06. </w:t>
      </w:r>
      <w:r>
        <w:t>Misión</w:t>
      </w:r>
    </w:p>
    <w:p>
      <w:r>
        <w:rPr>
          <w:b w:val="0"/>
          <w:i w:val="0"/>
        </w:rPr>
        <w:t>Dar forma tangible, coleccionable y jugable a la memoria competitiva de la Superliga Frontier: sus jugadores, presidentes, entrenadores, escudos y leyendas, con un nivel de cuidado visual y de experiencia que honre el esfuerzo real que la comunidad pone en cada temporada.</w:t>
      </w:r>
    </w:p>
    <w:p>
      <w:pPr>
        <w:pStyle w:val="Heading2"/>
      </w:pPr>
      <w:r>
        <w:rPr>
          <w:b/>
          <w:color w:val="E8752A"/>
        </w:rPr>
        <w:t xml:space="preserve">07. </w:t>
      </w:r>
      <w:r>
        <w:t>Valores</w:t>
      </w:r>
    </w:p>
    <w:p>
      <w:pPr>
        <w:pStyle w:val="ListBullet"/>
      </w:pPr>
      <w:r>
        <w:rPr>
          <w:b/>
        </w:rPr>
        <w:t xml:space="preserve">Pertenencia. </w:t>
      </w:r>
      <w:r>
        <w:t>El producto es de quienes ya juegan la liga; no busca crecer fuera de esa comunidad, la sirve mejor a ella.</w:t>
      </w:r>
    </w:p>
    <w:p>
      <w:pPr>
        <w:pStyle w:val="ListBullet"/>
      </w:pPr>
      <w:r>
        <w:rPr>
          <w:b/>
        </w:rPr>
        <w:t xml:space="preserve">Autenticidad. </w:t>
      </w:r>
      <w:r>
        <w:t>Las cartas representan momentos y personas reales del proyecto, no relleno genérico.</w:t>
      </w:r>
    </w:p>
    <w:p>
      <w:pPr>
        <w:pStyle w:val="ListBullet"/>
      </w:pPr>
      <w:r>
        <w:rPr>
          <w:b/>
        </w:rPr>
        <w:t xml:space="preserve">Competencia sana. </w:t>
      </w:r>
      <w:r>
        <w:t>Igual que las cuatro bases de la Superliga (verdes, técnicas canónicas, salary cap, lesiones por ruleta), el TCG evita mecánicas que rompan la igualdad de condiciones entre managers.</w:t>
      </w:r>
    </w:p>
    <w:p>
      <w:pPr>
        <w:pStyle w:val="ListBullet"/>
      </w:pPr>
      <w:r>
        <w:rPr>
          <w:b/>
        </w:rPr>
        <w:t xml:space="preserve">Cuidado en el detalle. </w:t>
      </w:r>
      <w:r>
        <w:t>Cada pantalla se trata con el mismo nivel de acabado, sin zonas "de relleno".</w:t>
      </w:r>
    </w:p>
    <w:p>
      <w:pPr>
        <w:pStyle w:val="ListBullet"/>
      </w:pPr>
      <w:r>
        <w:rPr>
          <w:b/>
        </w:rPr>
        <w:t xml:space="preserve">Memoria colectiva. </w:t>
      </w:r>
      <w:r>
        <w:t>El folclore de la liga (apodos, frases, hitos) se conserva como parte del producto, no se borra por parecer poco serio.</w:t>
      </w:r>
    </w:p>
    <w:p>
      <w:pPr>
        <w:pStyle w:val="ListBullet"/>
      </w:pPr>
      <w:r>
        <w:rPr>
          <w:b/>
        </w:rPr>
        <w:t xml:space="preserve">Transparencia. </w:t>
      </w:r>
      <w:r>
        <w:t>Gratuito, sin monetización oculta ni mecánicas de apuesta con dinero real.</w:t>
      </w:r>
    </w:p>
    <w:p>
      <w:pPr>
        <w:pStyle w:val="Heading2"/>
      </w:pPr>
      <w:r>
        <w:rPr>
          <w:b/>
          <w:color w:val="E8752A"/>
        </w:rPr>
        <w:t xml:space="preserve">08. </w:t>
      </w:r>
      <w:r>
        <w:t>Personalidad</w:t>
      </w:r>
    </w:p>
    <w:p>
      <w:r>
        <w:rPr>
          <w:b w:val="0"/>
          <w:i w:val="0"/>
        </w:rPr>
        <w:t>Prestigiosa, precisa, cálida por dentro, cómplice en dosis controladas, confiable. Se comporta como una competición deportiva oficial — pulcra, ordenada, con autoridad — y dentro de esa formalidad, reserva exactamente dos gestos de complicidad con quien ya es de la casa.</w:t>
      </w:r>
    </w:p>
    <w:p>
      <w:pPr>
        <w:pStyle w:val="Heading2"/>
      </w:pPr>
      <w:r>
        <w:rPr>
          <w:b/>
          <w:color w:val="E8752A"/>
        </w:rPr>
        <w:t xml:space="preserve">09. </w:t>
      </w:r>
      <w:r>
        <w:t>Arquetipo de marca</w:t>
      </w:r>
    </w:p>
    <w:p>
      <w:r>
        <w:rPr>
          <w:b w:val="0"/>
          <w:i w:val="0"/>
        </w:rPr>
        <w:t>Arquetipo principal — El Gobernante: orden, prestigio, estructura de competición oficial. Sostiene el 90% de la experiencia: navegación, dashboards, cartas, mercado, duelos.</w:t>
      </w:r>
    </w:p>
    <w:p>
      <w:r>
        <w:rPr>
          <w:b w:val="0"/>
          <w:i w:val="0"/>
        </w:rPr>
        <w:t>Arquetipo secundario, dosificado — El Bufón, pero no disperso: se manifiesta exclusivamente en dos lugares sancionados por decisión explícita del proyecto — el uso ocasional y secundario del apodo "Superruina Frontier" (nunca en el lockup principal del logo; válido en contextos informales como loading states, easter eggs o redes) y la frase "a ese Gonzalo le gano fácil" (tratada como una cita histórica del folclore de liga, reservada a espacios no críticos como el pie de página o pantallas vacías/404). Ningún otro chiste, apodo de jugador o meme se añade a la superficie visible del producto sin pasar por este mismo criterio.</w:t>
      </w:r>
    </w:p>
    <w:p>
      <w:pPr>
        <w:pStyle w:val="Heading2"/>
      </w:pPr>
      <w:r>
        <w:rPr>
          <w:b/>
          <w:color w:val="E8752A"/>
        </w:rPr>
        <w:t xml:space="preserve">10. </w:t>
      </w:r>
      <w:r>
        <w:t>Storytelling</w:t>
      </w:r>
    </w:p>
    <w:p>
      <w:r>
        <w:rPr>
          <w:b w:val="0"/>
          <w:i w:val="0"/>
        </w:rPr>
        <w:t>Cada temporada, veintiún clubes cruzan fichajes, presupuestos de 250 millones y lesiones por ruleta para decidir quién manda en la Superliga Frontier. De ahí salen los goles que se repiten en los resúmenes, los fichajes que nadie vio venir, y las frases que ya son historia de la liga — como aquella vez que alguien "le ganó fácil a ese Gonzalo". Todo ese material vivía solo en un Discord y una tabla de clasificación.</w:t>
      </w:r>
    </w:p>
    <w:p>
      <w:r>
        <w:rPr>
          <w:b w:val="0"/>
          <w:i w:val="0"/>
        </w:rPr>
        <w:t>Superliga Frontier TCG le da un lugar permanente: cada carta es un fragmento de esa historia, lista para abrirse, coleccionarse, apostarse en un duelo y presumirse en el álbum de quien la consiguió.</w:t>
      </w:r>
    </w:p>
    <w:p>
      <w:r>
        <w:br w:type="page"/>
      </w:r>
    </w:p>
    <w:p>
      <w:pPr>
        <w:pStyle w:val="Heading1"/>
      </w:pPr>
      <w:r>
        <w:t>Parte II — Audiencia y voz</w:t>
      </w:r>
    </w:p>
    <w:p>
      <w:pPr>
        <w:pStyle w:val="Heading2"/>
      </w:pPr>
      <w:r>
        <w:rPr>
          <w:b/>
          <w:color w:val="E8752A"/>
        </w:rPr>
        <w:t xml:space="preserve">11. </w:t>
      </w:r>
      <w:r>
        <w:t>Público objetivo</w:t>
      </w:r>
    </w:p>
    <w:p>
      <w:r>
        <w:rPr>
          <w:b w:val="0"/>
          <w:i w:val="0"/>
        </w:rPr>
        <w:t>Exclusivamente los participantes activos y potenciales de la Superliga Frontier: presidentes de club, mánagers, jugadores fichados y aficionados de la liga que siguen la competición por Discord y redes. No es un producto abierto al público general de TCGs ni a fans de Inazuma Eleven ajenos al proyecto — la exclusividad real, solo para quien ya está dentro, es en sí misma parte de la propuesta de marca.</w:t>
      </w:r>
    </w:p>
    <w:p>
      <w:r>
        <w:rPr>
          <w:b w:val="0"/>
          <w:i w:val="0"/>
        </w:rPr>
        <w:t>Perfil demográfico esperado: comunidad hispanohablante, mayoritariamente adolescente y adulto joven, jugadores activos de Inazuma Eleven: Victory Road con alta implicación en gestión y estrategia (salary cap, fichajes) y en cultura de comunidad (Discord, streamers, memes internos).</w:t>
      </w:r>
    </w:p>
    <w:p>
      <w:pPr>
        <w:pStyle w:val="Heading2"/>
      </w:pPr>
      <w:r>
        <w:rPr>
          <w:b/>
          <w:color w:val="E8752A"/>
        </w:rPr>
        <w:t xml:space="preserve">12. </w:t>
      </w:r>
      <w:r>
        <w:t>User Personas</w:t>
      </w:r>
    </w:p>
    <w:p>
      <w:pPr>
        <w:pStyle w:val="ListBullet"/>
      </w:pPr>
      <w:r>
        <w:rPr>
          <w:b/>
        </w:rPr>
        <w:t xml:space="preserve">El Presidente competitivo. </w:t>
      </w:r>
      <w:r>
        <w:t>Gestiona un club real en la Superliga; entra al TCG para reforzar la identidad de su club (escudo, jugadores de su plantilla), usa el mercado y el deck builder con mentalidad de gestión seria, y cuida el salary cap tanto en la liga como en las apuestas de duelo.</w:t>
      </w:r>
    </w:p>
    <w:p>
      <w:pPr>
        <w:pStyle w:val="ListBullet"/>
      </w:pPr>
      <w:r>
        <w:rPr>
          <w:b/>
        </w:rPr>
        <w:t xml:space="preserve">El Coleccionista nostálgico. </w:t>
      </w:r>
      <w:r>
        <w:t>Entra sobre todo por la ceremonia de abrir sobres y completar el álbum; le importan las cartas holográficas SRF, la estética de la carta y sentir que cada apertura es un pequeño evento.</w:t>
      </w:r>
    </w:p>
    <w:p>
      <w:pPr>
        <w:pStyle w:val="ListBullet"/>
      </w:pPr>
      <w:r>
        <w:rPr>
          <w:b/>
        </w:rPr>
        <w:t xml:space="preserve">El Casual social. </w:t>
      </w:r>
      <w:r>
        <w:t>Participa por pertenencia a la comunidad más que por competitividad; disfruta las misiones, los minijuegos y los guiños de humor interno, entra y sale sin presión de "tener que jugar en serio".</w:t>
      </w:r>
    </w:p>
    <w:p>
      <w:pPr>
        <w:pStyle w:val="Heading2"/>
      </w:pPr>
      <w:r>
        <w:rPr>
          <w:b/>
          <w:color w:val="E8752A"/>
        </w:rPr>
        <w:t xml:space="preserve">13. </w:t>
      </w:r>
      <w:r>
        <w:t>Tono de comunicación</w:t>
      </w:r>
    </w:p>
    <w:p>
      <w:r>
        <w:rPr>
          <w:b w:val="0"/>
          <w:i w:val="0"/>
        </w:rPr>
        <w:t>Por defecto, editorial y preciso — el tono de una retransmisión o de una ficha oficial de competición, no el de un grupo de Discord. Frases cortas, datos claros, cero relleno. Se permite calidez cuando se dirige directamente al usuario (bienvenidas, logros, misiones) pero sin caer en argot gamer genérico ni en exclamaciones vacías. El humor se dosifica exactamente donde se definió en el arquetipo (sección 9); en el resto de la superficie, el tono es serio y cuidado.</w:t>
      </w:r>
    </w:p>
    <w:p>
      <w:pPr>
        <w:pStyle w:val="Heading2"/>
      </w:pPr>
      <w:r>
        <w:rPr>
          <w:b/>
          <w:color w:val="E8752A"/>
        </w:rPr>
        <w:t xml:space="preserve">14. </w:t>
      </w:r>
      <w:r>
        <w:t>Brand Voice</w:t>
      </w:r>
    </w:p>
    <w:p>
      <w:r>
        <w:rPr>
          <w:b w:val="0"/>
          <w:i w:val="0"/>
        </w:rPr>
        <w:t>Habla en primera persona del plural cuando representa al proyecto ("la Superliga"), y en segunda persona singular cuando se dirige al usuario. Evita superlativos vacíos ("¡increíble!", "¡el mejor TCG!") en favor de afirmaciones verificables: rarezas con probabilidad real, estadísticas reales de la carta, historial real de duelos.</w:t>
      </w:r>
    </w:p>
    <w:p>
      <w:r>
        <w:rPr>
          <w:b w:val="0"/>
          <w:i w:val="0"/>
        </w:rPr>
        <w:t>Nunca usa el nombre real de un jugador de forma burlona o descontextualizada fuera de los dos guiños sancionados. El microcopy — botones, estados vacíos, errores — mantiene la misma precisión que el resto: útil primero, con personalidad en segundo plano.</w:t>
      </w:r>
    </w:p>
    <w:p>
      <w:r>
        <w:br w:type="page"/>
      </w:r>
    </w:p>
    <w:p>
      <w:pPr>
        <w:pStyle w:val="Heading1"/>
      </w:pPr>
      <w:r>
        <w:t>Parte III — Dirección creativa y sistema visual</w:t>
      </w:r>
    </w:p>
    <w:p>
      <w:pPr>
        <w:pStyle w:val="Heading2"/>
      </w:pPr>
      <w:r>
        <w:rPr>
          <w:b/>
          <w:color w:val="E8752A"/>
        </w:rPr>
        <w:t xml:space="preserve">15. </w:t>
      </w:r>
      <w:r>
        <w:t>Dirección creativa</w:t>
      </w:r>
    </w:p>
    <w:p>
      <w:r>
        <w:rPr>
          <w:b w:val="0"/>
          <w:i w:val="0"/>
        </w:rPr>
        <w:t>La dirección creativa combina dos mundos que hoy casi nunca conviven: la densidad de datos y el ritual de apertura de un TCG físico de coleccionista (Adrenalyn XL / Panini, Pokémon TCG Pocket) con la contención, el espacio en blanco y la precisión tipográfica de un producto de software premium (Apple, Vercel). El resultado debe sentirse como si un estudio de diseño de producto hubiera sido contratado para diseñar el TCG oficial de una liga deportiva real: seria en su estructura, espectacular en sus momentos clave (abrir un sobre, ganar un duelo), nunca ruidosa en el resto.</w:t>
      </w:r>
    </w:p>
    <w:p>
      <w:pPr>
        <w:pStyle w:val="Heading2"/>
      </w:pPr>
      <w:r>
        <w:rPr>
          <w:b/>
          <w:color w:val="E8752A"/>
        </w:rPr>
        <w:t xml:space="preserve">16. </w:t>
      </w:r>
      <w:r>
        <w:t>Principios de diseño</w:t>
      </w:r>
    </w:p>
    <w:p>
      <w:pPr>
        <w:pStyle w:val="ListBullet"/>
      </w:pPr>
      <w:r>
        <w:rPr>
          <w:b/>
        </w:rPr>
        <w:t xml:space="preserve">El arte manda. </w:t>
      </w:r>
      <w:r>
        <w:t>La interfaz sirve a la ilustración de la carta, nunca compite con ella.</w:t>
      </w:r>
    </w:p>
    <w:p>
      <w:pPr>
        <w:pStyle w:val="ListBullet"/>
      </w:pPr>
      <w:r>
        <w:rPr>
          <w:b/>
        </w:rPr>
        <w:t xml:space="preserve">Un acento, cero ruido. </w:t>
      </w:r>
      <w:r>
        <w:t>El ámbar se reserva para lo que de verdad importa — acciones primarias, momentos de celebración —; en todo lo demás, la paleta es neutra.</w:t>
      </w:r>
    </w:p>
    <w:p>
      <w:pPr>
        <w:pStyle w:val="ListBullet"/>
      </w:pPr>
      <w:r>
        <w:rPr>
          <w:b/>
        </w:rPr>
        <w:t xml:space="preserve">La rareza se lee sin color. </w:t>
      </w:r>
      <w:r>
        <w:t>Todo lo que hoy se comunica solo por color (rareza, estado, resultado de duelo) lleva una señal adicional no cromática.</w:t>
      </w:r>
    </w:p>
    <w:p>
      <w:pPr>
        <w:pStyle w:val="ListBullet"/>
      </w:pPr>
      <w:r>
        <w:rPr>
          <w:b/>
        </w:rPr>
        <w:t xml:space="preserve">Ceremonia con propósito. </w:t>
      </w:r>
      <w:r>
        <w:t>El movimiento existe para dar peso a los momentos que lo merecen (sobre, duelo, logro), no para decorar cada clic.</w:t>
      </w:r>
    </w:p>
    <w:p>
      <w:pPr>
        <w:pStyle w:val="ListBullet"/>
      </w:pPr>
      <w:r>
        <w:rPr>
          <w:b/>
        </w:rPr>
        <w:t xml:space="preserve">Denso pero nunca abarrotado. </w:t>
      </w:r>
      <w:r>
        <w:t>Mucha información — mercado, estadísticas, duelos — organizada con jerarquía clara, nunca amontonada.</w:t>
      </w:r>
    </w:p>
    <w:p>
      <w:pPr>
        <w:pStyle w:val="ListBullet"/>
      </w:pPr>
      <w:r>
        <w:rPr>
          <w:b/>
        </w:rPr>
        <w:t xml:space="preserve">Un solo chiste, dos veces. </w:t>
      </w:r>
      <w:r>
        <w:t>El humor de la casa vive solo donde el arquetipo de marca lo permite.</w:t>
      </w:r>
    </w:p>
    <w:p>
      <w:pPr>
        <w:pStyle w:val="ListBullet"/>
      </w:pPr>
      <w:r>
        <w:rPr>
          <w:b/>
        </w:rPr>
        <w:t xml:space="preserve">Se adapta, no se recorta. </w:t>
      </w:r>
      <w:r>
        <w:t>El arte de cada carta se muestra siempre al 100%, sea cual sea su proporción original — el marco se ajusta a la imagen, no al revés.</w:t>
      </w:r>
    </w:p>
    <w:p>
      <w:pPr>
        <w:pStyle w:val="Heading2"/>
      </w:pPr>
      <w:r>
        <w:rPr>
          <w:b/>
          <w:color w:val="E8752A"/>
        </w:rPr>
        <w:t xml:space="preserve">17. </w:t>
      </w:r>
      <w:r>
        <w:t>Sistema visual</w:t>
      </w:r>
    </w:p>
    <w:p>
      <w:r>
        <w:rPr>
          <w:b w:val="0"/>
          <w:i w:val="0"/>
        </w:rPr>
        <w:t>El sistema parte de una base neutra oscura — "negro de estadio nocturno" — ya validada en el prototipo, y de un único acento cromático de firma. Se abandona cualquier gradiente decorativo genérico (azul-violeta de "gaming stock") en favor de un vocabulario anclado al propio juego: el ámbar como color de trofeo y marcador, y los colores semánticos calcados de las propias tarjetas arbitrales del fútbol (amarilla = aviso, roja = falta). Esta decisión ya estaba presente en el CSS original del prototipo y se conserva porque es más inteligente que un sistema de color genérico: se refina su ejecución, no su lógica.</w:t>
      </w:r>
    </w:p>
    <w:p>
      <w:pPr>
        <w:pStyle w:val="Heading2"/>
      </w:pPr>
      <w:r>
        <w:rPr>
          <w:b/>
          <w:color w:val="E8752A"/>
        </w:rPr>
        <w:t xml:space="preserve">18. </w:t>
      </w:r>
      <w:r>
        <w:t>Paleta cromática</w:t>
      </w:r>
    </w:p>
    <w:p>
      <w:r>
        <w:rPr>
          <w:b w:val="0"/>
          <w:i w:val="0"/>
        </w:rPr>
        <w:t>Colores base y de marca:</w:t>
      </w:r>
    </w:p>
    <w:tbl>
      <w:tblPr>
        <w:tblStyle w:val="LightGrid-Accent2"/>
        <w:tblW w:type="auto" w:w="0"/>
        <w:jc w:val="center"/>
        <w:tblLook w:firstColumn="1" w:firstRow="1" w:lastColumn="0" w:lastRow="0" w:noHBand="0" w:noVBand="1" w:val="04A0"/>
      </w:tblPr>
      <w:tblGrid>
        <w:gridCol w:w="2408"/>
        <w:gridCol w:w="2408"/>
        <w:gridCol w:w="2408"/>
        <w:gridCol w:w="2408"/>
      </w:tblGrid>
      <w:tr>
        <w:tc>
          <w:tcPr>
            <w:tcW w:type="dxa" w:w="2408"/>
            <w:shd w:val="clear" w:color="auto" w:fill="E8752A"/>
          </w:tcPr>
          <w:p>
            <w:r/>
            <w:r>
              <w:rPr>
                <w:b/>
                <w:color w:val="FFFFFF"/>
              </w:rPr>
              <w:t>Token</w:t>
            </w:r>
          </w:p>
        </w:tc>
        <w:tc>
          <w:tcPr>
            <w:tcW w:type="dxa" w:w="2408"/>
            <w:shd w:val="clear" w:color="auto" w:fill="E8752A"/>
          </w:tcPr>
          <w:p>
            <w:r/>
            <w:r>
              <w:rPr>
                <w:b/>
                <w:color w:val="FFFFFF"/>
              </w:rPr>
              <w:t>HEX</w:t>
            </w:r>
          </w:p>
        </w:tc>
        <w:tc>
          <w:tcPr>
            <w:tcW w:type="dxa" w:w="2408"/>
            <w:shd w:val="clear" w:color="auto" w:fill="E8752A"/>
          </w:tcPr>
          <w:p>
            <w:r/>
            <w:r>
              <w:rPr>
                <w:b/>
                <w:color w:val="FFFFFF"/>
              </w:rPr>
              <w:t>Uso</w:t>
            </w:r>
          </w:p>
        </w:tc>
        <w:tc>
          <w:tcPr>
            <w:tcW w:type="dxa" w:w="2408"/>
            <w:shd w:val="clear" w:color="auto" w:fill="E8752A"/>
          </w:tcPr>
          <w:p>
            <w:r/>
            <w:r>
              <w:rPr>
                <w:b/>
                <w:color w:val="FFFFFF"/>
              </w:rPr>
              <w:t>Justificación</w:t>
            </w:r>
          </w:p>
        </w:tc>
      </w:tr>
      <w:tr>
        <w:tc>
          <w:tcPr>
            <w:tcW w:type="dxa" w:w="2408"/>
          </w:tcPr>
          <w:p>
            <w:r/>
            <w:r>
              <w:t>Void (fondo)</w:t>
            </w:r>
          </w:p>
        </w:tc>
        <w:tc>
          <w:tcPr>
            <w:tcW w:type="dxa" w:w="2408"/>
          </w:tcPr>
          <w:p>
            <w:r/>
            <w:r>
              <w:t>#0B0C10</w:t>
            </w:r>
          </w:p>
        </w:tc>
        <w:tc>
          <w:tcPr>
            <w:tcW w:type="dxa" w:w="2408"/>
          </w:tcPr>
          <w:p>
            <w:r/>
            <w:r>
              <w:t>Fondo principal de toda la interfaz</w:t>
            </w:r>
          </w:p>
        </w:tc>
        <w:tc>
          <w:tcPr>
            <w:tcW w:type="dxa" w:w="2408"/>
          </w:tcPr>
          <w:p>
            <w:r/>
            <w:r>
              <w:t>Negro carbón neutro, ligeramente más profundo que el actual (#121317) para reforzar la sensación premium-nocturna sin virar a azul o morado genérico.</w:t>
            </w:r>
          </w:p>
        </w:tc>
      </w:tr>
      <w:tr>
        <w:tc>
          <w:tcPr>
            <w:tcW w:type="dxa" w:w="2408"/>
          </w:tcPr>
          <w:p>
            <w:r/>
            <w:r>
              <w:t>Panel</w:t>
            </w:r>
          </w:p>
        </w:tc>
        <w:tc>
          <w:tcPr>
            <w:tcW w:type="dxa" w:w="2408"/>
          </w:tcPr>
          <w:p>
            <w:r/>
            <w:r>
              <w:t>#16181D</w:t>
            </w:r>
          </w:p>
        </w:tc>
        <w:tc>
          <w:tcPr>
            <w:tcW w:type="dxa" w:w="2408"/>
          </w:tcPr>
          <w:p>
            <w:r/>
            <w:r>
              <w:t>Tarjetas, paneles, superficies elevadas</w:t>
            </w:r>
          </w:p>
        </w:tc>
        <w:tc>
          <w:tcPr>
            <w:tcW w:type="dxa" w:w="2408"/>
          </w:tcPr>
          <w:p>
            <w:r/>
            <w:r>
              <w:t>Un escalón de luz sobre el fondo para crear profundidad sin sombras pesadas.</w:t>
            </w:r>
          </w:p>
        </w:tc>
      </w:tr>
      <w:tr>
        <w:tc>
          <w:tcPr>
            <w:tcW w:type="dxa" w:w="2408"/>
          </w:tcPr>
          <w:p>
            <w:r/>
            <w:r>
              <w:t>Frost (texto)</w:t>
            </w:r>
          </w:p>
        </w:tc>
        <w:tc>
          <w:tcPr>
            <w:tcW w:type="dxa" w:w="2408"/>
          </w:tcPr>
          <w:p>
            <w:r/>
            <w:r>
              <w:t>#EDEEF1</w:t>
            </w:r>
          </w:p>
        </w:tc>
        <w:tc>
          <w:tcPr>
            <w:tcW w:type="dxa" w:w="2408"/>
          </w:tcPr>
          <w:p>
            <w:r/>
            <w:r>
              <w:t>Texto de alto contraste</w:t>
            </w:r>
          </w:p>
        </w:tc>
        <w:tc>
          <w:tcPr>
            <w:tcW w:type="dxa" w:w="2408"/>
          </w:tcPr>
          <w:p>
            <w:r/>
            <w:r>
              <w:t>Blanco roto, nunca puro, para evitar brillo excesivo sobre fondo oscuro.</w:t>
            </w:r>
          </w:p>
        </w:tc>
      </w:tr>
      <w:tr>
        <w:tc>
          <w:tcPr>
            <w:tcW w:type="dxa" w:w="2408"/>
          </w:tcPr>
          <w:p>
            <w:r/>
            <w:r>
              <w:t>Frost dim</w:t>
            </w:r>
          </w:p>
        </w:tc>
        <w:tc>
          <w:tcPr>
            <w:tcW w:type="dxa" w:w="2408"/>
          </w:tcPr>
          <w:p>
            <w:r/>
            <w:r>
              <w:t>#93959F</w:t>
            </w:r>
          </w:p>
        </w:tc>
        <w:tc>
          <w:tcPr>
            <w:tcW w:type="dxa" w:w="2408"/>
          </w:tcPr>
          <w:p>
            <w:r/>
            <w:r>
              <w:t>Texto secundario, metadatos</w:t>
            </w:r>
          </w:p>
        </w:tc>
        <w:tc>
          <w:tcPr>
            <w:tcW w:type="dxa" w:w="2408"/>
          </w:tcPr>
          <w:p>
            <w:r/>
            <w:r>
              <w:t>Contraste AA suficiente sin competir con el texto principal.</w:t>
            </w:r>
          </w:p>
        </w:tc>
      </w:tr>
      <w:tr>
        <w:tc>
          <w:tcPr>
            <w:tcW w:type="dxa" w:w="2408"/>
          </w:tcPr>
          <w:p>
            <w:r/>
            <w:r>
              <w:t>Ámbar (acento)</w:t>
            </w:r>
          </w:p>
        </w:tc>
        <w:tc>
          <w:tcPr>
            <w:tcW w:type="dxa" w:w="2408"/>
          </w:tcPr>
          <w:p>
            <w:r/>
            <w:r>
              <w:t>#E8752A</w:t>
            </w:r>
          </w:p>
        </w:tc>
        <w:tc>
          <w:tcPr>
            <w:tcW w:type="dxa" w:w="2408"/>
          </w:tcPr>
          <w:p>
            <w:r/>
            <w:r>
              <w:t>Acciones primarias y celebración</w:t>
            </w:r>
          </w:p>
        </w:tc>
        <w:tc>
          <w:tcPr>
            <w:tcW w:type="dxa" w:w="2408"/>
          </w:tcPr>
          <w:p>
            <w:r/>
            <w:r>
              <w:t>Evolución del naranja actual (#EC7A2E): mismo territorio cromático para dar continuidad, algo más profundo y menos "neón" — sensación de trofeo, no de videojuego casual.</w:t>
            </w:r>
          </w:p>
        </w:tc>
      </w:tr>
      <w:tr>
        <w:tc>
          <w:tcPr>
            <w:tcW w:type="dxa" w:w="2408"/>
          </w:tcPr>
          <w:p>
            <w:r/>
            <w:r>
              <w:t>Ámbar claro</w:t>
            </w:r>
          </w:p>
        </w:tc>
        <w:tc>
          <w:tcPr>
            <w:tcW w:type="dxa" w:w="2408"/>
          </w:tcPr>
          <w:p>
            <w:r/>
            <w:r>
              <w:t>#FFB168</w:t>
            </w:r>
          </w:p>
        </w:tc>
        <w:tc>
          <w:tcPr>
            <w:tcW w:type="dxa" w:w="2408"/>
          </w:tcPr>
          <w:p>
            <w:r/>
            <w:r>
              <w:t>Hover, resplandores, afinidad</w:t>
            </w:r>
          </w:p>
        </w:tc>
        <w:tc>
          <w:tcPr>
            <w:tcW w:type="dxa" w:w="2408"/>
          </w:tcPr>
          <w:p>
            <w:r/>
            <w:r>
              <w:t>Variante clara para estados interactivos.</w:t>
            </w:r>
          </w:p>
        </w:tc>
      </w:tr>
      <w:tr>
        <w:tc>
          <w:tcPr>
            <w:tcW w:type="dxa" w:w="2408"/>
          </w:tcPr>
          <w:p>
            <w:r/>
            <w:r>
              <w:t>Ámbar tinta</w:t>
            </w:r>
          </w:p>
        </w:tc>
        <w:tc>
          <w:tcPr>
            <w:tcW w:type="dxa" w:w="2408"/>
          </w:tcPr>
          <w:p>
            <w:r/>
            <w:r>
              <w:t>#2B1204</w:t>
            </w:r>
          </w:p>
        </w:tc>
        <w:tc>
          <w:tcPr>
            <w:tcW w:type="dxa" w:w="2408"/>
          </w:tcPr>
          <w:p>
            <w:r/>
            <w:r>
              <w:t>Texto sobre fondo ámbar</w:t>
            </w:r>
          </w:p>
        </w:tc>
        <w:tc>
          <w:tcPr>
            <w:tcW w:type="dxa" w:w="2408"/>
          </w:tcPr>
          <w:p>
            <w:r/>
            <w:r>
              <w:t>Garantiza contraste AA sobre botones primarios.</w:t>
            </w:r>
          </w:p>
        </w:tc>
      </w:tr>
      <w:tr>
        <w:tc>
          <w:tcPr>
            <w:tcW w:type="dxa" w:w="2408"/>
          </w:tcPr>
          <w:p>
            <w:r/>
            <w:r>
              <w:t>Éxito</w:t>
            </w:r>
          </w:p>
        </w:tc>
        <w:tc>
          <w:tcPr>
            <w:tcW w:type="dxa" w:w="2408"/>
          </w:tcPr>
          <w:p>
            <w:r/>
            <w:r>
              <w:t>#3DDC9B</w:t>
            </w:r>
          </w:p>
        </w:tc>
        <w:tc>
          <w:tcPr>
            <w:tcW w:type="dxa" w:w="2408"/>
          </w:tcPr>
          <w:p>
            <w:r/>
            <w:r>
              <w:t>Confirmaciones, victorias en duelo</w:t>
            </w:r>
          </w:p>
        </w:tc>
        <w:tc>
          <w:tcPr>
            <w:tcW w:type="dxa" w:w="2408"/>
          </w:tcPr>
          <w:p>
            <w:r/>
            <w:r>
              <w:t>El verde de "vía libre", coherente con el propio reglamento del juego.</w:t>
            </w:r>
          </w:p>
        </w:tc>
      </w:tr>
      <w:tr>
        <w:tc>
          <w:tcPr>
            <w:tcW w:type="dxa" w:w="2408"/>
          </w:tcPr>
          <w:p>
            <w:r/>
            <w:r>
              <w:t>Aviso</w:t>
            </w:r>
          </w:p>
        </w:tc>
        <w:tc>
          <w:tcPr>
            <w:tcW w:type="dxa" w:w="2408"/>
          </w:tcPr>
          <w:p>
            <w:r/>
            <w:r>
              <w:t>#F2B134</w:t>
            </w:r>
          </w:p>
        </w:tc>
        <w:tc>
          <w:tcPr>
            <w:tcW w:type="dxa" w:w="2408"/>
          </w:tcPr>
          <w:p>
            <w:r/>
            <w:r>
              <w:t>Alertas no críticas</w:t>
            </w:r>
          </w:p>
        </w:tc>
        <w:tc>
          <w:tcPr>
            <w:tcW w:type="dxa" w:w="2408"/>
          </w:tcPr>
          <w:p>
            <w:r/>
            <w:r>
              <w:t>El amarillo de tarjeta amarilla, literal al reglamento de fútbol de la liga.</w:t>
            </w:r>
          </w:p>
        </w:tc>
      </w:tr>
      <w:tr>
        <w:tc>
          <w:tcPr>
            <w:tcW w:type="dxa" w:w="2408"/>
          </w:tcPr>
          <w:p>
            <w:r/>
            <w:r>
              <w:t>Peligro</w:t>
            </w:r>
          </w:p>
        </w:tc>
        <w:tc>
          <w:tcPr>
            <w:tcW w:type="dxa" w:w="2408"/>
          </w:tcPr>
          <w:p>
            <w:r/>
            <w:r>
              <w:t>#F0554A</w:t>
            </w:r>
          </w:p>
        </w:tc>
        <w:tc>
          <w:tcPr>
            <w:tcW w:type="dxa" w:w="2408"/>
          </w:tcPr>
          <w:p>
            <w:r/>
            <w:r>
              <w:t>Errores, derrotas, bajas de mercado</w:t>
            </w:r>
          </w:p>
        </w:tc>
        <w:tc>
          <w:tcPr>
            <w:tcW w:type="dxa" w:w="2408"/>
          </w:tcPr>
          <w:p>
            <w:r/>
            <w:r>
              <w:t>El rojo de tarjeta roja.</w:t>
            </w:r>
          </w:p>
        </w:tc>
      </w:tr>
      <w:tr>
        <w:tc>
          <w:tcPr>
            <w:tcW w:type="dxa" w:w="2408"/>
          </w:tcPr>
          <w:p>
            <w:r/>
            <w:r>
              <w:t>Información</w:t>
            </w:r>
          </w:p>
        </w:tc>
        <w:tc>
          <w:tcPr>
            <w:tcW w:type="dxa" w:w="2408"/>
          </w:tcPr>
          <w:p>
            <w:r/>
            <w:r>
              <w:t>#5B96F2</w:t>
            </w:r>
          </w:p>
        </w:tc>
        <w:tc>
          <w:tcPr>
            <w:tcW w:type="dxa" w:w="2408"/>
          </w:tcPr>
          <w:p>
            <w:r/>
            <w:r>
              <w:t>Mensajes neutros y ayuda</w:t>
            </w:r>
          </w:p>
        </w:tc>
        <w:tc>
          <w:tcPr>
            <w:tcW w:type="dxa" w:w="2408"/>
          </w:tcPr>
          <w:p>
            <w:r/>
            <w:r>
              <w:t>Azul de sistema estándar, uso mínimo.</w:t>
            </w:r>
          </w:p>
        </w:tc>
      </w:tr>
    </w:tbl>
    <w:p/>
    <w:p>
      <w:r>
        <w:rPr>
          <w:b w:val="0"/>
          <w:i w:val="0"/>
        </w:rPr>
        <w:t>Rareza de cartas — cada nivel exige una marca redundante no cromática, obligatoria para accesibilidad y para la equidad de los duelos con apuesta:</w:t>
      </w:r>
    </w:p>
    <w:tbl>
      <w:tblPr>
        <w:tblStyle w:val="LightGrid-Accent2"/>
        <w:tblW w:type="auto" w:w="0"/>
        <w:jc w:val="center"/>
        <w:tblLook w:firstColumn="1" w:firstRow="1" w:lastColumn="0" w:lastRow="0" w:noHBand="0" w:noVBand="1" w:val="04A0"/>
      </w:tblPr>
      <w:tblGrid>
        <w:gridCol w:w="2408"/>
        <w:gridCol w:w="2408"/>
        <w:gridCol w:w="2408"/>
        <w:gridCol w:w="2408"/>
      </w:tblGrid>
      <w:tr>
        <w:tc>
          <w:tcPr>
            <w:tcW w:type="dxa" w:w="2408"/>
            <w:shd w:val="clear" w:color="auto" w:fill="E8752A"/>
          </w:tcPr>
          <w:p>
            <w:r/>
            <w:r>
              <w:rPr>
                <w:b/>
                <w:color w:val="FFFFFF"/>
              </w:rPr>
              <w:t>Rareza</w:t>
            </w:r>
          </w:p>
        </w:tc>
        <w:tc>
          <w:tcPr>
            <w:tcW w:type="dxa" w:w="2408"/>
            <w:shd w:val="clear" w:color="auto" w:fill="E8752A"/>
          </w:tcPr>
          <w:p>
            <w:r/>
            <w:r>
              <w:rPr>
                <w:b/>
                <w:color w:val="FFFFFF"/>
              </w:rPr>
              <w:t>Color</w:t>
            </w:r>
          </w:p>
        </w:tc>
        <w:tc>
          <w:tcPr>
            <w:tcW w:type="dxa" w:w="2408"/>
            <w:shd w:val="clear" w:color="auto" w:fill="E8752A"/>
          </w:tcPr>
          <w:p>
            <w:r/>
            <w:r>
              <w:rPr>
                <w:b/>
                <w:color w:val="FFFFFF"/>
              </w:rPr>
              <w:t>Probabilidad</w:t>
            </w:r>
          </w:p>
        </w:tc>
        <w:tc>
          <w:tcPr>
            <w:tcW w:type="dxa" w:w="2408"/>
            <w:shd w:val="clear" w:color="auto" w:fill="E8752A"/>
          </w:tcPr>
          <w:p>
            <w:r/>
            <w:r>
              <w:rPr>
                <w:b/>
                <w:color w:val="FFFFFF"/>
              </w:rPr>
              <w:t>Marca redundante</w:t>
            </w:r>
          </w:p>
        </w:tc>
      </w:tr>
      <w:tr>
        <w:tc>
          <w:tcPr>
            <w:tcW w:type="dxa" w:w="2408"/>
          </w:tcPr>
          <w:p>
            <w:r/>
            <w:r>
              <w:t>Común</w:t>
            </w:r>
          </w:p>
        </w:tc>
        <w:tc>
          <w:tcPr>
            <w:tcW w:type="dxa" w:w="2408"/>
          </w:tcPr>
          <w:p>
            <w:r/>
            <w:r>
              <w:t>Gris neutro sobre panel</w:t>
            </w:r>
          </w:p>
        </w:tc>
        <w:tc>
          <w:tcPr>
            <w:tcW w:type="dxa" w:w="2408"/>
          </w:tcPr>
          <w:p>
            <w:r/>
            <w:r>
              <w:t>60%</w:t>
            </w:r>
          </w:p>
        </w:tc>
        <w:tc>
          <w:tcPr>
            <w:tcW w:type="dxa" w:w="2408"/>
          </w:tcPr>
          <w:p>
            <w:r/>
            <w:r>
              <w:t>Sin adorno adicional — es la base del sistema.</w:t>
            </w:r>
          </w:p>
        </w:tc>
      </w:tr>
      <w:tr>
        <w:tc>
          <w:tcPr>
            <w:tcW w:type="dxa" w:w="2408"/>
          </w:tcPr>
          <w:p>
            <w:r/>
            <w:r>
              <w:t>Poco común</w:t>
            </w:r>
          </w:p>
        </w:tc>
        <w:tc>
          <w:tcPr>
            <w:tcW w:type="dxa" w:w="2408"/>
          </w:tcPr>
          <w:p>
            <w:r/>
            <w:r>
              <w:t>Verde</w:t>
            </w:r>
          </w:p>
        </w:tc>
        <w:tc>
          <w:tcPr>
            <w:tcW w:type="dxa" w:w="2408"/>
          </w:tcPr>
          <w:p>
            <w:r/>
            <w:r>
              <w:t>25%</w:t>
            </w:r>
          </w:p>
        </w:tc>
        <w:tc>
          <w:tcPr>
            <w:tcW w:type="dxa" w:w="2408"/>
          </w:tcPr>
          <w:p>
            <w:r/>
            <w:r>
              <w:t>1 marca (chevron simple).</w:t>
            </w:r>
          </w:p>
        </w:tc>
      </w:tr>
      <w:tr>
        <w:tc>
          <w:tcPr>
            <w:tcW w:type="dxa" w:w="2408"/>
          </w:tcPr>
          <w:p>
            <w:r/>
            <w:r>
              <w:t>Raro</w:t>
            </w:r>
          </w:p>
        </w:tc>
        <w:tc>
          <w:tcPr>
            <w:tcW w:type="dxa" w:w="2408"/>
          </w:tcPr>
          <w:p>
            <w:r/>
            <w:r>
              <w:t>Azul</w:t>
            </w:r>
          </w:p>
        </w:tc>
        <w:tc>
          <w:tcPr>
            <w:tcW w:type="dxa" w:w="2408"/>
          </w:tcPr>
          <w:p>
            <w:r/>
            <w:r>
              <w:t>10%</w:t>
            </w:r>
          </w:p>
        </w:tc>
        <w:tc>
          <w:tcPr>
            <w:tcW w:type="dxa" w:w="2408"/>
          </w:tcPr>
          <w:p>
            <w:r/>
            <w:r>
              <w:t>2 marcas.</w:t>
            </w:r>
          </w:p>
        </w:tc>
      </w:tr>
      <w:tr>
        <w:tc>
          <w:tcPr>
            <w:tcW w:type="dxa" w:w="2408"/>
          </w:tcPr>
          <w:p>
            <w:r/>
            <w:r>
              <w:t>Épico</w:t>
            </w:r>
          </w:p>
        </w:tc>
        <w:tc>
          <w:tcPr>
            <w:tcW w:type="dxa" w:w="2408"/>
          </w:tcPr>
          <w:p>
            <w:r/>
            <w:r>
              <w:t>Violeta</w:t>
            </w:r>
          </w:p>
        </w:tc>
        <w:tc>
          <w:tcPr>
            <w:tcW w:type="dxa" w:w="2408"/>
          </w:tcPr>
          <w:p>
            <w:r/>
            <w:r>
              <w:t>3.5%</w:t>
            </w:r>
          </w:p>
        </w:tc>
        <w:tc>
          <w:tcPr>
            <w:tcW w:type="dxa" w:w="2408"/>
          </w:tcPr>
          <w:p>
            <w:r/>
            <w:r>
              <w:t>3 marcas.</w:t>
            </w:r>
          </w:p>
        </w:tc>
      </w:tr>
      <w:tr>
        <w:tc>
          <w:tcPr>
            <w:tcW w:type="dxa" w:w="2408"/>
          </w:tcPr>
          <w:p>
            <w:r/>
            <w:r>
              <w:t>Legendario</w:t>
            </w:r>
          </w:p>
        </w:tc>
        <w:tc>
          <w:tcPr>
            <w:tcW w:type="dxa" w:w="2408"/>
          </w:tcPr>
          <w:p>
            <w:r/>
            <w:r>
              <w:t>Degradado ámbar-fuego + borde metálico</w:t>
            </w:r>
          </w:p>
        </w:tc>
        <w:tc>
          <w:tcPr>
            <w:tcW w:type="dxa" w:w="2408"/>
          </w:tcPr>
          <w:p>
            <w:r/>
            <w:r>
              <w:t>1%</w:t>
            </w:r>
          </w:p>
        </w:tc>
        <w:tc>
          <w:tcPr>
            <w:tcW w:type="dxa" w:w="2408"/>
          </w:tcPr>
          <w:p>
            <w:r/>
            <w:r>
              <w:t>Marco/corona distintiva.</w:t>
            </w:r>
          </w:p>
        </w:tc>
      </w:tr>
      <w:tr>
        <w:tc>
          <w:tcPr>
            <w:tcW w:type="dxa" w:w="2408"/>
          </w:tcPr>
          <w:p>
            <w:r/>
            <w:r>
              <w:t>SRF</w:t>
            </w:r>
          </w:p>
        </w:tc>
        <w:tc>
          <w:tcPr>
            <w:tcW w:type="dxa" w:w="2408"/>
          </w:tcPr>
          <w:p>
            <w:r/>
            <w:r>
              <w:t>Holográfico animado multi-tono + borde blanco</w:t>
            </w:r>
          </w:p>
        </w:tc>
        <w:tc>
          <w:tcPr>
            <w:tcW w:type="dxa" w:w="2408"/>
          </w:tcPr>
          <w:p>
            <w:r/>
            <w:r>
              <w:t>0.5%</w:t>
            </w:r>
          </w:p>
        </w:tc>
        <w:tc>
          <w:tcPr>
            <w:tcW w:type="dxa" w:w="2408"/>
          </w:tcPr>
          <w:p>
            <w:r/>
            <w:r>
              <w:t>Patrón de brillo en movimiento único — la única rareza con animación por defecto.</w:t>
            </w:r>
          </w:p>
        </w:tc>
      </w:tr>
    </w:tbl>
    <w:p/>
    <w:p>
      <w:pPr>
        <w:pStyle w:val="Heading2"/>
      </w:pPr>
      <w:r>
        <w:rPr>
          <w:b/>
          <w:color w:val="E8752A"/>
        </w:rPr>
        <w:t xml:space="preserve">19. </w:t>
      </w:r>
      <w:r>
        <w:t>Tipografías y jerarquías</w:t>
      </w:r>
    </w:p>
    <w:p>
      <w:r>
        <w:rPr>
          <w:b w:val="0"/>
          <w:i w:val="0"/>
        </w:rPr>
        <w:t>Recomendación: adoptar Geist Sans como tipografía principal de interfaz y Geist Mono para datos numéricos — monedas, estadísticas de carta, contadores de duelo, marcas de tiempo. Es una elección directamente coherente con la referencia visual pedida (Vercel.com usa esta misma familia) y resuelve, con una sola familia bien ejecutada, el mismo espíritu que Apple logra con San Francisco: un sistema tipográfico propio, no una mezcla de fuentes. Se mantiene compatibilidad de respaldo con Inter — ya integrada en el prototipo — como fallback técnico, dado que ambas comparten espíritu geométrico-humanista y la migración es de bajo riesgo.</w:t>
      </w:r>
    </w:p>
    <w:tbl>
      <w:tblPr>
        <w:tblStyle w:val="LightGrid-Accent2"/>
        <w:tblW w:type="auto" w:w="0"/>
        <w:jc w:val="center"/>
        <w:tblLook w:firstColumn="1" w:firstRow="1" w:lastColumn="0" w:lastRow="0" w:noHBand="0" w:noVBand="1" w:val="04A0"/>
      </w:tblPr>
      <w:tblGrid>
        <w:gridCol w:w="2408"/>
        <w:gridCol w:w="2408"/>
        <w:gridCol w:w="2408"/>
        <w:gridCol w:w="2408"/>
      </w:tblGrid>
      <w:tr>
        <w:tc>
          <w:tcPr>
            <w:tcW w:type="dxa" w:w="2408"/>
            <w:shd w:val="clear" w:color="auto" w:fill="E8752A"/>
          </w:tcPr>
          <w:p>
            <w:r/>
            <w:r>
              <w:rPr>
                <w:b/>
                <w:color w:val="FFFFFF"/>
              </w:rPr>
              <w:t>Nivel</w:t>
            </w:r>
          </w:p>
        </w:tc>
        <w:tc>
          <w:tcPr>
            <w:tcW w:type="dxa" w:w="2408"/>
            <w:shd w:val="clear" w:color="auto" w:fill="E8752A"/>
          </w:tcPr>
          <w:p>
            <w:r/>
            <w:r>
              <w:rPr>
                <w:b/>
                <w:color w:val="FFFFFF"/>
              </w:rPr>
              <w:t>Tamaño</w:t>
            </w:r>
          </w:p>
        </w:tc>
        <w:tc>
          <w:tcPr>
            <w:tcW w:type="dxa" w:w="2408"/>
            <w:shd w:val="clear" w:color="auto" w:fill="E8752A"/>
          </w:tcPr>
          <w:p>
            <w:r/>
            <w:r>
              <w:rPr>
                <w:b/>
                <w:color w:val="FFFFFF"/>
              </w:rPr>
              <w:t>Peso</w:t>
            </w:r>
          </w:p>
        </w:tc>
        <w:tc>
          <w:tcPr>
            <w:tcW w:type="dxa" w:w="2408"/>
            <w:shd w:val="clear" w:color="auto" w:fill="E8752A"/>
          </w:tcPr>
          <w:p>
            <w:r/>
            <w:r>
              <w:rPr>
                <w:b/>
                <w:color w:val="FFFFFF"/>
              </w:rPr>
              <w:t>Uso</w:t>
            </w:r>
          </w:p>
        </w:tc>
      </w:tr>
      <w:tr>
        <w:tc>
          <w:tcPr>
            <w:tcW w:type="dxa" w:w="2408"/>
          </w:tcPr>
          <w:p>
            <w:r/>
            <w:r>
              <w:t>Display / Hero</w:t>
            </w:r>
          </w:p>
        </w:tc>
        <w:tc>
          <w:tcPr>
            <w:tcW w:type="dxa" w:w="2408"/>
          </w:tcPr>
          <w:p>
            <w:r/>
            <w:r>
              <w:t>56–96px</w:t>
            </w:r>
          </w:p>
        </w:tc>
        <w:tc>
          <w:tcPr>
            <w:tcW w:type="dxa" w:w="2408"/>
          </w:tcPr>
          <w:p>
            <w:r/>
            <w:r>
              <w:t>700, tracking -2%</w:t>
            </w:r>
          </w:p>
        </w:tc>
        <w:tc>
          <w:tcPr>
            <w:tcW w:type="dxa" w:w="2408"/>
          </w:tcPr>
          <w:p>
            <w:r/>
            <w:r>
              <w:t>Solo momentos hero y revelado de cartas SRF.</w:t>
            </w:r>
          </w:p>
        </w:tc>
      </w:tr>
      <w:tr>
        <w:tc>
          <w:tcPr>
            <w:tcW w:type="dxa" w:w="2408"/>
          </w:tcPr>
          <w:p>
            <w:r/>
            <w:r>
              <w:t>H1</w:t>
            </w:r>
          </w:p>
        </w:tc>
        <w:tc>
          <w:tcPr>
            <w:tcW w:type="dxa" w:w="2408"/>
          </w:tcPr>
          <w:p>
            <w:r/>
            <w:r>
              <w:t>40–48px</w:t>
            </w:r>
          </w:p>
        </w:tc>
        <w:tc>
          <w:tcPr>
            <w:tcW w:type="dxa" w:w="2408"/>
          </w:tcPr>
          <w:p>
            <w:r/>
            <w:r>
              <w:t>700</w:t>
            </w:r>
          </w:p>
        </w:tc>
        <w:tc>
          <w:tcPr>
            <w:tcW w:type="dxa" w:w="2408"/>
          </w:tcPr>
          <w:p>
            <w:r/>
            <w:r>
              <w:t>Títulos de sección principal.</w:t>
            </w:r>
          </w:p>
        </w:tc>
      </w:tr>
      <w:tr>
        <w:tc>
          <w:tcPr>
            <w:tcW w:type="dxa" w:w="2408"/>
          </w:tcPr>
          <w:p>
            <w:r/>
            <w:r>
              <w:t>H2</w:t>
            </w:r>
          </w:p>
        </w:tc>
        <w:tc>
          <w:tcPr>
            <w:tcW w:type="dxa" w:w="2408"/>
          </w:tcPr>
          <w:p>
            <w:r/>
            <w:r>
              <w:t>28–32px</w:t>
            </w:r>
          </w:p>
        </w:tc>
        <w:tc>
          <w:tcPr>
            <w:tcW w:type="dxa" w:w="2408"/>
          </w:tcPr>
          <w:p>
            <w:r/>
            <w:r>
              <w:t>700</w:t>
            </w:r>
          </w:p>
        </w:tc>
        <w:tc>
          <w:tcPr>
            <w:tcW w:type="dxa" w:w="2408"/>
          </w:tcPr>
          <w:p>
            <w:r/>
            <w:r>
              <w:t>Títulos de bloque.</w:t>
            </w:r>
          </w:p>
        </w:tc>
      </w:tr>
      <w:tr>
        <w:tc>
          <w:tcPr>
            <w:tcW w:type="dxa" w:w="2408"/>
          </w:tcPr>
          <w:p>
            <w:r/>
            <w:r>
              <w:t>H3</w:t>
            </w:r>
          </w:p>
        </w:tc>
        <w:tc>
          <w:tcPr>
            <w:tcW w:type="dxa" w:w="2408"/>
          </w:tcPr>
          <w:p>
            <w:r/>
            <w:r>
              <w:t>20–22px</w:t>
            </w:r>
          </w:p>
        </w:tc>
        <w:tc>
          <w:tcPr>
            <w:tcW w:type="dxa" w:w="2408"/>
          </w:tcPr>
          <w:p>
            <w:r/>
            <w:r>
              <w:t>600</w:t>
            </w:r>
          </w:p>
        </w:tc>
        <w:tc>
          <w:tcPr>
            <w:tcW w:type="dxa" w:w="2408"/>
          </w:tcPr>
          <w:p>
            <w:r/>
            <w:r>
              <w:t>Subtítulos, cabeceras de tarjeta.</w:t>
            </w:r>
          </w:p>
        </w:tc>
      </w:tr>
      <w:tr>
        <w:tc>
          <w:tcPr>
            <w:tcW w:type="dxa" w:w="2408"/>
          </w:tcPr>
          <w:p>
            <w:r/>
            <w:r>
              <w:t>Body</w:t>
            </w:r>
          </w:p>
        </w:tc>
        <w:tc>
          <w:tcPr>
            <w:tcW w:type="dxa" w:w="2408"/>
          </w:tcPr>
          <w:p>
            <w:r/>
            <w:r>
              <w:t>15–16px</w:t>
            </w:r>
          </w:p>
        </w:tc>
        <w:tc>
          <w:tcPr>
            <w:tcW w:type="dxa" w:w="2408"/>
          </w:tcPr>
          <w:p>
            <w:r/>
            <w:r>
              <w:t>400–500</w:t>
            </w:r>
          </w:p>
        </w:tc>
        <w:tc>
          <w:tcPr>
            <w:tcW w:type="dxa" w:w="2408"/>
          </w:tcPr>
          <w:p>
            <w:r/>
            <w:r>
              <w:t>Texto de lectura.</w:t>
            </w:r>
          </w:p>
        </w:tc>
      </w:tr>
      <w:tr>
        <w:tc>
          <w:tcPr>
            <w:tcW w:type="dxa" w:w="2408"/>
          </w:tcPr>
          <w:p>
            <w:r/>
            <w:r>
              <w:t>Caption / meta</w:t>
            </w:r>
          </w:p>
        </w:tc>
        <w:tc>
          <w:tcPr>
            <w:tcW w:type="dxa" w:w="2408"/>
          </w:tcPr>
          <w:p>
            <w:r/>
            <w:r>
              <w:t>12–13px</w:t>
            </w:r>
          </w:p>
        </w:tc>
        <w:tc>
          <w:tcPr>
            <w:tcW w:type="dxa" w:w="2408"/>
          </w:tcPr>
          <w:p>
            <w:r/>
            <w:r>
              <w:t>600, mayúsculas, tracking +8%</w:t>
            </w:r>
          </w:p>
        </w:tc>
        <w:tc>
          <w:tcPr>
            <w:tcW w:type="dxa" w:w="2408"/>
          </w:tcPr>
          <w:p>
            <w:r/>
            <w:r>
              <w:t>Rareza, posición, timestamps.</w:t>
            </w:r>
          </w:p>
        </w:tc>
      </w:tr>
      <w:tr>
        <w:tc>
          <w:tcPr>
            <w:tcW w:type="dxa" w:w="2408"/>
          </w:tcPr>
          <w:p>
            <w:r/>
            <w:r>
              <w:t>Mono (dato)</w:t>
            </w:r>
          </w:p>
        </w:tc>
        <w:tc>
          <w:tcPr>
            <w:tcW w:type="dxa" w:w="2408"/>
          </w:tcPr>
          <w:p>
            <w:r/>
            <w:r>
              <w:t>13–20px</w:t>
            </w:r>
          </w:p>
        </w:tc>
        <w:tc>
          <w:tcPr>
            <w:tcW w:type="dxa" w:w="2408"/>
          </w:tcPr>
          <w:p>
            <w:r/>
            <w:r>
              <w:t>Geist Mono</w:t>
            </w:r>
          </w:p>
        </w:tc>
        <w:tc>
          <w:tcPr>
            <w:tcW w:type="dxa" w:w="2408"/>
          </w:tcPr>
          <w:p>
            <w:r/>
            <w:r>
              <w:t>Monedas, estadísticas, contadores — nunca texto editorial.</w:t>
            </w:r>
          </w:p>
        </w:tc>
      </w:tr>
    </w:tbl>
    <w:p/>
    <w:p>
      <w:pPr>
        <w:pStyle w:val="Heading2"/>
      </w:pPr>
      <w:r>
        <w:rPr>
          <w:b/>
          <w:color w:val="E8752A"/>
        </w:rPr>
        <w:t xml:space="preserve">20. </w:t>
      </w:r>
      <w:r>
        <w:t>Sistema de iconografía</w:t>
      </w:r>
    </w:p>
    <w:p>
      <w:r>
        <w:rPr>
          <w:b w:val="0"/>
          <w:i w:val="0"/>
        </w:rPr>
        <w:t>Se mantiene Phosphor Icons como librería base: ya está integrada, cubre un catálogo amplio y consistente en grosor de trazo, y su peso "regular" encaja con la sobriedad buscada. Regla de uso: peso Regular para navegación y estados neutros; peso Bold o Fill únicamente para estados activos y de celebración (duelo ganado, logro desbloqueado, carta SRF). Se añade un micro-set de iconos propios solo donde Phosphor no cubre el dominio del juego (rareza, afinidad, posición), dibujado con el mismo grosor de trazo para que no se note la costura.</w:t>
      </w:r>
    </w:p>
    <w:p>
      <w:pPr>
        <w:pStyle w:val="Heading2"/>
      </w:pPr>
      <w:r>
        <w:rPr>
          <w:b/>
          <w:color w:val="E8752A"/>
        </w:rPr>
        <w:t xml:space="preserve">21. </w:t>
      </w:r>
      <w:r>
        <w:t>Estilo de ilustraciones</w:t>
      </w:r>
    </w:p>
    <w:p>
      <w:r>
        <w:rPr>
          <w:b w:val="0"/>
          <w:i w:val="0"/>
        </w:rPr>
        <w:t>El arte de cartas y escudos se resuelve fuera de este sistema — mezcla de IA y edición manual sobre material oficial de Level-5 para las cartas, y escudos generados por un agente de IA especializado por separado. Este documento no prescribe el proceso de creación de arte, pero sí el marco que lo contiene: cada pieza de arte, sea cual sea su proporción o resolución original, se muestra siempre completa (object-fit: contain, nunca cover/crop) sobre una placa de fondo consistente por rareza — degradado sutil más halo de color de rareza — de forma que la inconsistencia inevitable del arte de origen quede absorbida por un marco de carta unificado.</w:t>
      </w:r>
    </w:p>
    <w:p>
      <w:r>
        <w:rPr>
          <w:b w:val="0"/>
          <w:i w:val="0"/>
        </w:rPr>
        <w:t>Esta es la decisión estructural más importante del sistema de cartas: la coherencia de marca vive en el marco, no en el arte.</w:t>
      </w:r>
    </w:p>
    <w:p>
      <w:pPr>
        <w:pStyle w:val="Heading2"/>
      </w:pPr>
      <w:r>
        <w:rPr>
          <w:b/>
          <w:color w:val="E8752A"/>
        </w:rPr>
        <w:t xml:space="preserve">22. </w:t>
      </w:r>
      <w:r>
        <w:t>Componentes de interfaz</w:t>
      </w:r>
    </w:p>
    <w:p>
      <w:r>
        <w:rPr>
          <w:b w:val="0"/>
          <w:i w:val="0"/>
        </w:rPr>
        <w:t>Librería mínima viable para la reconstrucción: botón (primario / ghost / peligro, tres tamaños, estado disabled con opacidad reducida), campo de formulario (texto, select con caret propio), tarjeta de carta —el componente más importante del sistema, reconstruido con el nuevo marco de rareza—, tarjeta de sobre, modal (con foco atrapado y cierre por Esc), alerta (éxito/aviso/peligro/info), pastilla de estado, barra de progreso (álbum, misiones), tabla de datos (clasificación, mercado, duelos), chip de usuario (avatar + monedas), tabs, paginación, estado vacío y skeleton loader. Cada componente se documenta con sus estados: default, hover, focus, active, disabled, loading, error.</w:t>
      </w:r>
    </w:p>
    <w:p>
      <w:pPr>
        <w:pStyle w:val="Heading2"/>
      </w:pPr>
      <w:r>
        <w:rPr>
          <w:b/>
          <w:color w:val="E8752A"/>
        </w:rPr>
        <w:t xml:space="preserve">23. </w:t>
      </w:r>
      <w:r>
        <w:t>Sistema de espaciado</w:t>
      </w:r>
    </w:p>
    <w:p>
      <w:r>
        <w:rPr>
          <w:b w:val="0"/>
          <w:i w:val="0"/>
        </w:rPr>
        <w:t>Escala de ocho pasos en base 4px, para permitir densidad de dashboard sin perder aire: 4 · 8 · 12 · 16 · 24 · 32 · 48 · 64px. La escala ajustada (4–16px) se usa dentro de componentes densos (tarjetas de mercado, filas de tabla); la escala amplia (24–64px), entre secciones y bloques — evitando los saltos arbitrarios que tenía el prototipo original.</w:t>
      </w:r>
    </w:p>
    <w:p>
      <w:pPr>
        <w:pStyle w:val="Heading2"/>
      </w:pPr>
      <w:r>
        <w:rPr>
          <w:b/>
          <w:color w:val="E8752A"/>
        </w:rPr>
        <w:t xml:space="preserve">24. </w:t>
      </w:r>
      <w:r>
        <w:t>Grid</w:t>
      </w:r>
    </w:p>
    <w:tbl>
      <w:tblPr>
        <w:tblStyle w:val="LightGrid-Accent2"/>
        <w:tblW w:type="auto" w:w="0"/>
        <w:jc w:val="center"/>
        <w:tblLook w:firstColumn="1" w:firstRow="1" w:lastColumn="0" w:lastRow="0" w:noHBand="0" w:noVBand="1" w:val="04A0"/>
      </w:tblPr>
      <w:tblGrid>
        <w:gridCol w:w="4816"/>
        <w:gridCol w:w="4816"/>
      </w:tblGrid>
      <w:tr>
        <w:tc>
          <w:tcPr>
            <w:tcW w:type="dxa" w:w="4816"/>
            <w:shd w:val="clear" w:color="auto" w:fill="E8752A"/>
          </w:tcPr>
          <w:p>
            <w:r/>
            <w:r>
              <w:rPr>
                <w:b/>
                <w:color w:val="FFFFFF"/>
              </w:rPr>
              <w:t>Rango</w:t>
            </w:r>
          </w:p>
        </w:tc>
        <w:tc>
          <w:tcPr>
            <w:tcW w:type="dxa" w:w="4816"/>
            <w:shd w:val="clear" w:color="auto" w:fill="E8752A"/>
          </w:tcPr>
          <w:p>
            <w:r/>
            <w:r>
              <w:rPr>
                <w:b/>
                <w:color w:val="FFFFFF"/>
              </w:rPr>
              <w:t>Comportamiento</w:t>
            </w:r>
          </w:p>
        </w:tc>
      </w:tr>
      <w:tr>
        <w:tc>
          <w:tcPr>
            <w:tcW w:type="dxa" w:w="4816"/>
          </w:tcPr>
          <w:p>
            <w:r/>
            <w:r>
              <w:t>Móvil (&lt;480px)</w:t>
            </w:r>
          </w:p>
        </w:tc>
        <w:tc>
          <w:tcPr>
            <w:tcW w:type="dxa" w:w="4816"/>
          </w:tcPr>
          <w:p>
            <w:r/>
            <w:r>
              <w:t>1 columna, márgenes de 16px.</w:t>
            </w:r>
          </w:p>
        </w:tc>
      </w:tr>
      <w:tr>
        <w:tc>
          <w:tcPr>
            <w:tcW w:type="dxa" w:w="4816"/>
          </w:tcPr>
          <w:p>
            <w:r/>
            <w:r>
              <w:t>Tablet (480–1024px)</w:t>
            </w:r>
          </w:p>
        </w:tc>
        <w:tc>
          <w:tcPr>
            <w:tcW w:type="dxa" w:w="4816"/>
          </w:tcPr>
          <w:p>
            <w:r/>
            <w:r>
              <w:t>Grid de 8 columnas, márgenes de 24–32px.</w:t>
            </w:r>
          </w:p>
        </w:tc>
      </w:tr>
      <w:tr>
        <w:tc>
          <w:tcPr>
            <w:tcW w:type="dxa" w:w="4816"/>
          </w:tcPr>
          <w:p>
            <w:r/>
            <w:r>
              <w:t>Escritorio (1024–1440px)</w:t>
            </w:r>
          </w:p>
        </w:tc>
        <w:tc>
          <w:tcPr>
            <w:tcW w:type="dxa" w:w="4816"/>
          </w:tcPr>
          <w:p>
            <w:r/>
            <w:r>
              <w:t>Grid de 12 columnas, márgenes de 5vw, ancho máximo de contenido 1280px.</w:t>
            </w:r>
          </w:p>
        </w:tc>
      </w:tr>
      <w:tr>
        <w:tc>
          <w:tcPr>
            <w:tcW w:type="dxa" w:w="4816"/>
          </w:tcPr>
          <w:p>
            <w:r/>
            <w:r>
              <w:t>Panorámico (1440–1920px)</w:t>
            </w:r>
          </w:p>
        </w:tc>
        <w:tc>
          <w:tcPr>
            <w:tcW w:type="dxa" w:w="4816"/>
          </w:tcPr>
          <w:p>
            <w:r/>
            <w:r>
              <w:t>Mismo grid de 12 columnas, ancho máximo 1440px, con aire adicional a los lados en vez de estirar componentes.</w:t>
            </w:r>
          </w:p>
        </w:tc>
      </w:tr>
      <w:tr>
        <w:tc>
          <w:tcPr>
            <w:tcW w:type="dxa" w:w="4816"/>
          </w:tcPr>
          <w:p>
            <w:r/>
            <w:r>
              <w:t>Ultra panorámico (&gt;1920px)</w:t>
            </w:r>
          </w:p>
        </w:tc>
        <w:tc>
          <w:tcPr>
            <w:tcW w:type="dxa" w:w="4816"/>
          </w:tcPr>
          <w:p>
            <w:r/>
            <w:r>
              <w:t>Contenido centrado con ancho máximo fijo (1600–1680px); los dashboards de gestión pueden usar el ancho extra para paneles laterales persistentes en vez de estirar tarjetas.</w:t>
            </w:r>
          </w:p>
        </w:tc>
      </w:tr>
    </w:tbl>
    <w:p/>
    <w:p>
      <w:pPr>
        <w:pStyle w:val="Heading2"/>
      </w:pPr>
      <w:r>
        <w:rPr>
          <w:b/>
          <w:color w:val="E8752A"/>
        </w:rPr>
        <w:t xml:space="preserve">25. </w:t>
      </w:r>
      <w:r>
        <w:t>Bordes</w:t>
      </w:r>
    </w:p>
    <w:p>
      <w:r>
        <w:rPr>
          <w:b w:val="0"/>
          <w:i w:val="0"/>
        </w:rPr>
        <w:t>Escala de radio coherente con la ya iniciada en el prototipo (8 / 12 / 16 / 22px), reservando el radio mayor para contenedores grandes (tarjeta de carta, modales) y el menor para controles de formulario y botones. Los bordes en sí (1px, blanco al 8% de opacidad) se mantienen casi invisibles: la separación de superficies se resuelve con espaciado y un salto sutil de luminosidad entre "void" y "panel", no con líneas marcadas.</w:t>
      </w:r>
    </w:p>
    <w:p>
      <w:pPr>
        <w:pStyle w:val="Heading2"/>
      </w:pPr>
      <w:r>
        <w:rPr>
          <w:b/>
          <w:color w:val="E8752A"/>
        </w:rPr>
        <w:t xml:space="preserve">26. </w:t>
      </w:r>
      <w:r>
        <w:t>Sombras</w:t>
      </w:r>
    </w:p>
    <w:p>
      <w:r>
        <w:rPr>
          <w:b w:val="0"/>
          <w:i w:val="0"/>
        </w:rPr>
        <w:t>Tres niveles (sm / md / lg) ya esbozados en el prototipo se mantienen, pero se recalibran para ser más sutiles y direccionales (luz cenital, no genérica), reservando la sombra más pronunciada para elementos flotantes sobre el flujo normal: modales, tarjeta de carta en hover, celebración de sobre. El resto de la interfaz usa sombra mínima o ninguna, apoyándose en el contraste de superficie.</w:t>
      </w:r>
    </w:p>
    <w:p>
      <w:r>
        <w:br w:type="page"/>
      </w:r>
    </w:p>
    <w:p>
      <w:pPr>
        <w:pStyle w:val="Heading1"/>
      </w:pPr>
      <w:r>
        <w:t>Parte IV — Motion y experiencia</w:t>
      </w:r>
    </w:p>
    <w:p>
      <w:pPr>
        <w:pStyle w:val="Heading2"/>
      </w:pPr>
      <w:r>
        <w:rPr>
          <w:b/>
          <w:color w:val="E8752A"/>
        </w:rPr>
        <w:t xml:space="preserve">27. </w:t>
      </w:r>
      <w:r>
        <w:t>Animaciones</w:t>
      </w:r>
    </w:p>
    <w:p>
      <w:r>
        <w:rPr>
          <w:b w:val="0"/>
          <w:i w:val="0"/>
        </w:rPr>
        <w:t>El prototipo ya respeta prefers-reduced-motion y tiene una base de scroll-reveal; ese criterio se conserva como no negociable y se extiende a toda animación nueva. Se define una curva de easing única para toda la interfaz (salida suave, entrada firme, similar a la ya usada en el componente de carta) para que ningún elemento se sienta fuera de familia, y una duración estándar por tipo de interacción: micro (120–180ms) para hover/focus, media (300–450ms) para transiciones de estado, larga (600ms+) reservada solo a las dos ceremonias de marca.</w:t>
      </w:r>
    </w:p>
    <w:p>
      <w:pPr>
        <w:pStyle w:val="Heading2"/>
      </w:pPr>
      <w:r>
        <w:rPr>
          <w:b/>
          <w:color w:val="E8752A"/>
        </w:rPr>
        <w:t xml:space="preserve">28. </w:t>
      </w:r>
      <w:r>
        <w:t>Motion Design</w:t>
      </w:r>
    </w:p>
    <w:p>
      <w:r>
        <w:rPr>
          <w:b w:val="0"/>
          <w:i w:val="0"/>
        </w:rPr>
        <w:t>Dos momentos reciben tratamiento cinematográfico propio, escalado por rareza:</w:t>
      </w:r>
    </w:p>
    <w:p>
      <w:pPr>
        <w:pStyle w:val="ListBullet"/>
      </w:pPr>
      <w:r>
        <w:rPr>
          <w:b/>
        </w:rPr>
        <w:t xml:space="preserve">Apertura de sobre. </w:t>
      </w:r>
      <w:r>
        <w:t>Sacudida del sobre, rasgado, estallido de luz y giro de revelado de cada carta; la intensidad —duración, partículas, brillo— crece con la rareza, culminando en la secuencia ya iniciada para "SRF" (pulso holográfico continuo), que se conserva y se refina como el momento más espectacular de todo el producto.</w:t>
      </w:r>
    </w:p>
    <w:p>
      <w:pPr>
        <w:pStyle w:val="ListBullet"/>
      </w:pPr>
      <w:r>
        <w:rPr>
          <w:b/>
        </w:rPr>
        <w:t xml:space="preserve">Duelo. </w:t>
      </w:r>
      <w:r>
        <w:t>Cuenta atrás, revelado simultáneo de la apuesta (moneda o carta) y resultado con feedback claro de victoria o derrota, evitando cualquier estética de casino —sin tragaperras, sin ruleta visual— para que la mecánica de apuesta se perciba como reto deportivo, no como juego de azar.</w:t>
      </w:r>
    </w:p>
    <w:p>
      <w:r>
        <w:rPr>
          <w:b w:val="0"/>
          <w:i w:val="0"/>
        </w:rPr>
        <w:t>Todo motion graphic decorativo (parallax de fondo, scroll reveals) se mantiene discreto y secundario frente a estos dos momentos.</w:t>
      </w:r>
    </w:p>
    <w:p>
      <w:pPr>
        <w:pStyle w:val="Heading2"/>
      </w:pPr>
      <w:r>
        <w:rPr>
          <w:b/>
          <w:color w:val="E8752A"/>
        </w:rPr>
        <w:t xml:space="preserve">29. </w:t>
      </w:r>
      <w:r>
        <w:t>Microinteracciones</w:t>
      </w:r>
    </w:p>
    <w:p>
      <w:r>
        <w:rPr>
          <w:b w:val="0"/>
          <w:i w:val="0"/>
        </w:rPr>
        <w:t>Hover con elevación sutil en tarjetas (ya presente, se mantiene y refina), feedback táctil en botones (escala 0.98 al pulsar, ya presente), estados de carga con skeleton (ya presente), confirmación visual inmediata en acciones de mercado o duelo (toast o inline, nunca solo un cambio de estado silencioso), y transición de foco visible y consistente en todo elemento interactivo (ya presente vía :focus-visible, se mantiene como estándar no negociable).</w:t>
      </w:r>
    </w:p>
    <w:p>
      <w:pPr>
        <w:pStyle w:val="Heading2"/>
      </w:pPr>
      <w:r>
        <w:rPr>
          <w:b/>
          <w:color w:val="E8752A"/>
        </w:rPr>
        <w:t xml:space="preserve">30. </w:t>
      </w:r>
      <w:r>
        <w:t>Responsive Design</w:t>
      </w:r>
    </w:p>
    <w:p>
      <w:r>
        <w:rPr>
          <w:b w:val="0"/>
          <w:i w:val="0"/>
        </w:rPr>
        <w:t>Mobile-first real: cada componente se diseña primero para el ancho de un móvil medio (360–390px) y se expande hacia arriba, no al revés. La navegación colapsable ya resuelta en el prototipo —hamburguesa con panel deslizante— se mantiene como patrón, elevando su ejecución visual. Áreas táctiles mínimas de 44×44px en todo control interactivo, superando el mínimo WCAG 2.2 de 24×24px. Las tablas de datos (mercado, clasificación) usan scroll horizontal controlado en móvil, nunca compresión ilegible de columnas.</w:t>
      </w:r>
    </w:p>
    <w:p>
      <w:pPr>
        <w:pStyle w:val="Heading2"/>
      </w:pPr>
      <w:r>
        <w:rPr>
          <w:b/>
          <w:color w:val="E8752A"/>
        </w:rPr>
        <w:t xml:space="preserve">31. </w:t>
      </w:r>
      <w:r>
        <w:t>Accesibilidad (WCAG 2.2)</w:t>
      </w:r>
    </w:p>
    <w:p>
      <w:pPr>
        <w:pStyle w:val="ListBullet"/>
      </w:pPr>
      <w:r>
        <w:rPr>
          <w:b/>
        </w:rPr>
        <w:t xml:space="preserve">Contraste. </w:t>
      </w:r>
      <w:r>
        <w:t>Texto normal ≥4.5:1, texto grande y encabezados ≥3:1 sobre cualquier fondo del sistema — validado explícitamente al fijar la paleta final.</w:t>
      </w:r>
    </w:p>
    <w:p>
      <w:pPr>
        <w:pStyle w:val="ListBullet"/>
      </w:pPr>
      <w:r>
        <w:rPr>
          <w:b/>
        </w:rPr>
        <w:t xml:space="preserve">Tamaño de objetivo (SC 2.5.8). </w:t>
      </w:r>
      <w:r>
        <w:t>Mínimo 24×24px, estándar interno de 44×44px en acciones primarias.</w:t>
      </w:r>
    </w:p>
    <w:p>
      <w:pPr>
        <w:pStyle w:val="ListBullet"/>
      </w:pPr>
      <w:r>
        <w:rPr>
          <w:b/>
        </w:rPr>
        <w:t xml:space="preserve">Foco visible (SC 2.4.11 / 2.4.13). </w:t>
      </w:r>
      <w:r>
        <w:t>Anillo de foco consistente en todo elemento interactivo, nunca oculto por elementos fijos como la navegación o los toasts — auditar especialmente la nav fija y los modales.</w:t>
      </w:r>
    </w:p>
    <w:p>
      <w:pPr>
        <w:pStyle w:val="ListBullet"/>
      </w:pPr>
      <w:r>
        <w:rPr>
          <w:b/>
        </w:rPr>
        <w:t xml:space="preserve">Alternativa sin arrastre (SC 2.5.7). </w:t>
      </w:r>
      <w:r>
        <w:t>El deck builder, si implementa arrastrar y soltar cartas, debe ofrecer una alternativa por toque o clic —añadir o quitar con un tap— desde el primer lanzamiento, no como parche posterior.</w:t>
      </w:r>
    </w:p>
    <w:p>
      <w:pPr>
        <w:pStyle w:val="ListBullet"/>
      </w:pPr>
      <w:r>
        <w:rPr>
          <w:b/>
        </w:rPr>
        <w:t xml:space="preserve">Navegación por teclado. </w:t>
      </w:r>
      <w:r>
        <w:t>Filtros de colección, modales (con atrapa-foco y cierre por Esc), revelado de sobres (saltable) y salas de duelo, totalmente operables sin ratón.</w:t>
      </w:r>
    </w:p>
    <w:p>
      <w:pPr>
        <w:pStyle w:val="ListBullet"/>
      </w:pPr>
      <w:r>
        <w:rPr>
          <w:b/>
        </w:rPr>
        <w:t xml:space="preserve">Lectores de pantalla. </w:t>
      </w:r>
      <w:r>
        <w:t>Texto alternativo en todo arte de carta, regiones aria-live para resultados de sobre y duelo, jerarquía de encabezados correcta en cada página.</w:t>
      </w:r>
    </w:p>
    <w:p>
      <w:pPr>
        <w:pStyle w:val="ListBullet"/>
      </w:pPr>
      <w:r>
        <w:rPr>
          <w:b/>
        </w:rPr>
        <w:t xml:space="preserve">Daltonismo. </w:t>
      </w:r>
      <w:r>
        <w:t>Todo indicador crítico por color —rareza, resultado de duelo, estado de mercado— lleva una señal redundante no cromática, ya definida en la sección 18.</w:t>
      </w:r>
    </w:p>
    <w:p>
      <w:pPr>
        <w:pStyle w:val="ListBullet"/>
      </w:pPr>
      <w:r>
        <w:rPr>
          <w:b/>
        </w:rPr>
        <w:t xml:space="preserve">Movimiento reducido. </w:t>
      </w:r>
      <w:r>
        <w:t>prefers-reduced-motion cubre también las nuevas ceremonias de sobre y duelo, no solo las animaciones ya existentes.</w:t>
      </w:r>
    </w:p>
    <w:p>
      <w:r>
        <w:br w:type="page"/>
      </w:r>
    </w:p>
    <w:p>
      <w:pPr>
        <w:pStyle w:val="Heading1"/>
      </w:pPr>
      <w:r>
        <w:t>Parte V — Producto: cartas, dashboards y navegación</w:t>
      </w:r>
    </w:p>
    <w:p>
      <w:pPr>
        <w:pStyle w:val="Heading2"/>
      </w:pPr>
      <w:r>
        <w:rPr>
          <w:b/>
          <w:color w:val="E8752A"/>
        </w:rPr>
        <w:t xml:space="preserve">32. </w:t>
      </w:r>
      <w:r>
        <w:t>Diseño de las cartas del TCG</w:t>
      </w:r>
    </w:p>
    <w:p>
      <w:r>
        <w:rPr>
          <w:b w:val="0"/>
          <w:i w:val="0"/>
        </w:rPr>
        <w:t>Formato híbrido: marco funcional con jerarquía de datos clara —nombre, posición, equipo/escudo, rareza, afinidad— en la línea de Adrenalyn XL, resuelto con una ejecución limpia y digital-first en la línea de Pokémon TCG Pocket. El arte ocupa la mayoría del espacio visible; el marco es fino y con propósito, nunca decorativo.</w:t>
      </w:r>
    </w:p>
    <w:p>
      <w:r>
        <w:rPr>
          <w:b w:val="0"/>
          <w:i w:val="0"/>
        </w:rPr>
        <w:t>Información por carta: nombre, posición (POR / DF / MC / DC, o tipo especial ENT / GER / ESCUDO / PRESIDENTE), equipo, rareza con marca redundante, afinidad (Montaña, Fuego, Viento, Bosque), descripción breve, y un bloque de estadísticas de combate — pendiente de definir en detalle junto al diseño de juego de los duelos, pero que debe reservar espacio visual desde ya, dado que los duelos comparan cartas de la misma rareza.</w:t>
      </w:r>
    </w:p>
    <w:p>
      <w:r>
        <w:rPr>
          <w:b w:val="0"/>
          <w:i w:val="0"/>
        </w:rPr>
        <w:t>El arte se muestra siempre completo (contain, nunca crop) sobre una placa de fondo con halo de color según rareza, absorbiendo así la inconsistencia inevitable de fuentes de arte mixtas. La rareza SRF conserva y mejora el tratamiento holográfico animado ya iniciado en el prototipo, como la variante más espectacular y con mayor peso de marca.</w:t>
      </w:r>
    </w:p>
    <w:p>
      <w:r>
        <w:rPr>
          <w:b w:val="0"/>
          <w:i w:val="0"/>
        </w:rPr>
        <w:t>Como las cartas ahora se apuestan en duelos —misma rareza obligatoria entre ambos jugadores— la etiqueta de rareza debe ser instantáneamente reconocible en cualquier contexto (mercado, colección, sala de duelo), usando siempre el mismo lenguaje visual, sin variantes por pantalla.</w:t>
      </w:r>
    </w:p>
    <w:p>
      <w:pPr>
        <w:pStyle w:val="Heading2"/>
      </w:pPr>
      <w:r>
        <w:rPr>
          <w:b/>
          <w:color w:val="E8752A"/>
        </w:rPr>
        <w:t xml:space="preserve">33. </w:t>
      </w:r>
      <w:r>
        <w:t>Diseño de dashboards y paneles</w:t>
      </w:r>
    </w:p>
    <w:p>
      <w:r>
        <w:rPr>
          <w:b w:val="0"/>
          <w:i w:val="0"/>
        </w:rPr>
        <w:t>Estética Apple/Vercel: mucho espacio en blanco (o "negro", dado el fondo oscuro), tipografía grande y segura para las cifras clave, jerarquía visual clara antes que densidad decorativa, y profundidad sutil —sombra suave, nunca skeuomorfismo—. Paneles modulares en tarjetas (saldo de monedas, últimos sobres abiertos, duelos activos, progreso de misiones, actividad de mercado) organizados en grid, no en listas planas.</w:t>
      </w:r>
    </w:p>
    <w:p>
      <w:r>
        <w:rPr>
          <w:b w:val="0"/>
          <w:i w:val="0"/>
        </w:rPr>
        <w:t>Las cifras —monedas, estadísticas, contadores— usan Geist Mono para que el dato se distinga visualmente del texto editorial, igual que hacen los dashboards de producto que sirven de referencia. El panel de administración, hoy funcional pero visualmente ad-hoc, se rediseña con el mismo sistema de componentes que el resto del producto, no como una herramienta aparte.</w:t>
      </w:r>
    </w:p>
    <w:p>
      <w:pPr>
        <w:pStyle w:val="Heading2"/>
      </w:pPr>
      <w:r>
        <w:rPr>
          <w:b/>
          <w:color w:val="E8752A"/>
        </w:rPr>
        <w:t xml:space="preserve">34. </w:t>
      </w:r>
      <w:r>
        <w:t>Sistema de navegación</w:t>
      </w:r>
    </w:p>
    <w:p>
      <w:r>
        <w:rPr>
          <w:b w:val="0"/>
          <w:i w:val="0"/>
        </w:rPr>
        <w:t>La navegación actual (Inicio, Sobres, Colección, Mercado, Álbum, Perfil) crece con Duelos y Misiones: siete u ocho destinos ya no caben cómodos en una barra plana sin perder claridad. Se recomienda agrupar en tres clústeres sobre la barra actual: Jugar (Sobres, Duelos, Misiones), Coleccionar (Colección, Álbum, Mercado) y Cuenta (Perfil), manteniendo Inicio como ancla siempre visible.</w:t>
      </w:r>
    </w:p>
    <w:p>
      <w:r>
        <w:rPr>
          <w:b w:val="0"/>
          <w:i w:val="0"/>
        </w:rPr>
        <w:t>En escritorio esto puede resolverse con un mega-menú simple o con las secciones agrupadas visualmente dentro de la misma barra; en móvil, el panel colapsable ya existente se reorganiza en esos mismos tres bloques. La navegación fija se revisa para nunca tapar contenido con foco activo (WCAG 2.2, SC 2.4.11).</w:t>
      </w:r>
    </w:p>
    <w:p>
      <w:pPr>
        <w:pStyle w:val="Heading2"/>
      </w:pPr>
      <w:r>
        <w:rPr>
          <w:b/>
          <w:color w:val="E8752A"/>
        </w:rPr>
        <w:t xml:space="preserve">35. </w:t>
      </w:r>
      <w:r>
        <w:t>Principios UX</w:t>
      </w:r>
    </w:p>
    <w:p>
      <w:pPr>
        <w:pStyle w:val="ListBullet"/>
      </w:pPr>
      <w:r>
        <w:t>Cada pantalla responde primero a "¿qué necesita ver o hacer ahora mismo el usuario?" antes que a "¿qué se puede mostrar aquí?".</w:t>
      </w:r>
    </w:p>
    <w:p>
      <w:pPr>
        <w:pStyle w:val="ListBullet"/>
      </w:pPr>
      <w:r>
        <w:t>El estado del usuario —monedas, colección, duelos activos— es visible sin fricción en todo momento, sin necesidad de navegar a otra pantalla para saber "cómo voy".</w:t>
      </w:r>
    </w:p>
    <w:p>
      <w:pPr>
        <w:pStyle w:val="ListBullet"/>
      </w:pPr>
      <w:r>
        <w:t>Ninguna acción con consecuencia económica (apostar monedas o una carta) se ejecuta sin un paso de confirmación explícito y reversible hasta ese punto.</w:t>
      </w:r>
    </w:p>
    <w:p>
      <w:pPr>
        <w:pStyle w:val="ListBullet"/>
      </w:pPr>
      <w:r>
        <w:t>Los estados vacíos —sin cartas, sin duelos, álbum incompleto— siempre indican la siguiente acción posible, nunca dejan una pantalla en blanco.</w:t>
      </w:r>
    </w:p>
    <w:p>
      <w:pPr>
        <w:pStyle w:val="ListBullet"/>
      </w:pPr>
      <w:r>
        <w:t>La complejidad de gestión (filtros de mercado, deck builder) se revela progresivamente: por defecto simple, avanzado a un clic de distancia.</w:t>
      </w:r>
    </w:p>
    <w:p>
      <w:r>
        <w:br w:type="page"/>
      </w:r>
    </w:p>
    <w:p>
      <w:pPr>
        <w:pStyle w:val="Heading1"/>
      </w:pPr>
      <w:r>
        <w:t>Parte VI — Sistema y futuro</w:t>
      </w:r>
    </w:p>
    <w:p>
      <w:pPr>
        <w:pStyle w:val="Heading2"/>
      </w:pPr>
      <w:r>
        <w:rPr>
          <w:b/>
          <w:color w:val="E8752A"/>
        </w:rPr>
        <w:t xml:space="preserve">36. </w:t>
      </w:r>
      <w:r>
        <w:t>Recomendaciones para el futuro Design System</w:t>
      </w:r>
    </w:p>
    <w:p>
      <w:r>
        <w:rPr>
          <w:b w:val="0"/>
          <w:i w:val="0"/>
        </w:rPr>
        <w:t>Documentar cada decisión de este briefing como tokens reutilizables —color, tipografía, espaciado, radio, sombra, motion— antes de tocar una sola pantalla, para que deck builder, duelos y misiones, construidos más adelante, hereden el sistema en vez de improvisar variantes. Mantener un único componente de "tarjeta de carta" reutilizado literalmente en sobres, colección, álbum, mercado y duelos —hoy varía ligeramente entre pantallas—. Versionar visualmente cada expansión nueva del juego dentro del mismo sistema, no como una skin aparte, para que el producto envejezca con coherencia.</w:t>
      </w:r>
    </w:p>
    <w:p>
      <w:pPr>
        <w:pStyle w:val="Heading2"/>
      </w:pPr>
      <w:r>
        <w:rPr>
          <w:b/>
          <w:color w:val="E8752A"/>
        </w:rPr>
        <w:t xml:space="preserve">37. </w:t>
      </w:r>
      <w:r>
        <w:t>Riesgos de branding y cómo evitarlos</w:t>
      </w:r>
    </w:p>
    <w:p>
      <w:pPr>
        <w:pStyle w:val="ListBullet"/>
      </w:pPr>
      <w:r>
        <w:rPr>
          <w:b/>
        </w:rPr>
        <w:t xml:space="preserve">Propiedad intelectual. </w:t>
      </w:r>
      <w:r>
        <w:t>El proyecto usa la IP de Inazuma Eleven (propiedad de Level-5) y nombres o apodos de miembros reales de la comunidad. Mitigación: aviso legal de proyecto fan-made sin ánimo de lucro visible en todo el producto —no solo en el pie de la landing, como ocurre hoy—, cero monetización real, y apodos mantenidos como algo cariñoso y consentido por la propia comunidad, nunca burlesco hacia fuera.</w:t>
      </w:r>
    </w:p>
    <w:p>
      <w:pPr>
        <w:pStyle w:val="ListBullet"/>
      </w:pPr>
      <w:r>
        <w:rPr>
          <w:b/>
        </w:rPr>
        <w:t xml:space="preserve">Deriva de tono. </w:t>
      </w:r>
      <w:r>
        <w:t>Al ser un proyecto en solitario con arte generado en distintos flujos (IA, edición manual, agentes especializados para escudos), es fácil que el humor se cuele fuera de los dos guiños sancionados según se añadan pantallas nuevas. Mitigación: este documento fija ese límite explícitamente; cualquier copy nuevo se contrasta contra las secciones 9 y 14 antes de publicarse.</w:t>
      </w:r>
    </w:p>
    <w:p>
      <w:pPr>
        <w:pStyle w:val="ListBullet"/>
      </w:pPr>
      <w:r>
        <w:rPr>
          <w:b/>
        </w:rPr>
        <w:t xml:space="preserve">Inconsistencia visual entre cartas. </w:t>
      </w:r>
      <w:r>
        <w:t>Al venir el arte de fuentes mixtas y generadores distintos, el resultado final podría sentirse desigual carta a carta. Mitigación: el marco de carta —secciones 21 y 32— absorbe esa variación por diseño; la coherencia de marca no depende de que el arte sea uniforme.</w:t>
      </w:r>
    </w:p>
    <w:p>
      <w:pPr>
        <w:pStyle w:val="ListBullet"/>
      </w:pPr>
      <w:r>
        <w:rPr>
          <w:b/>
        </w:rPr>
        <w:t xml:space="preserve">Percepción de apuesta o azar. </w:t>
      </w:r>
      <w:r>
        <w:t>Los duelos con apuesta de monedas o cartas, aunque gratuitos y sin valor monetario real, pueden leerse como mecánica de apuesta si se diseñan con estética de casino. Mitigación: tratamiento visual de "reto deportivo" —cuenta atrás, resultado directo— en vez de tragaperras, ruleta o efectos de casino en el momento del duelo.</w:t>
      </w:r>
    </w:p>
    <w:p>
      <w:pPr>
        <w:pStyle w:val="ListBullet"/>
      </w:pPr>
      <w:r>
        <w:rPr>
          <w:b/>
        </w:rPr>
        <w:t xml:space="preserve">Alcance sin fecha. </w:t>
      </w:r>
      <w:r>
        <w:t>Al no haber plazo fijo ni equipo, features ambiciosas (deck builder, minijuegos) pueden quedar a medio construir con calidad desigual frente a lo ya pulido. Mitigación: roadmap por fases donde cada fase es un producto completo y coherente por sí mismo, nunca a medias.</w:t>
      </w:r>
    </w:p>
    <w:p>
      <w:pPr>
        <w:pStyle w:val="Heading2"/>
      </w:pPr>
      <w:r>
        <w:rPr>
          <w:b/>
          <w:color w:val="E8752A"/>
        </w:rPr>
        <w:t xml:space="preserve">38. </w:t>
      </w:r>
      <w:r>
        <w:t>Roadmap recomendado</w:t>
      </w:r>
    </w:p>
    <w:tbl>
      <w:tblPr>
        <w:tblStyle w:val="LightGrid-Accent2"/>
        <w:tblW w:type="auto" w:w="0"/>
        <w:jc w:val="center"/>
        <w:tblLook w:firstColumn="1" w:firstRow="1" w:lastColumn="0" w:lastRow="0" w:noHBand="0" w:noVBand="1" w:val="04A0"/>
      </w:tblPr>
      <w:tblGrid>
        <w:gridCol w:w="3211"/>
        <w:gridCol w:w="3211"/>
        <w:gridCol w:w="3211"/>
      </w:tblGrid>
      <w:tr>
        <w:tc>
          <w:tcPr>
            <w:tcW w:type="dxa" w:w="3211"/>
            <w:shd w:val="clear" w:color="auto" w:fill="E8752A"/>
          </w:tcPr>
          <w:p>
            <w:r/>
            <w:r>
              <w:rPr>
                <w:b/>
                <w:color w:val="FFFFFF"/>
              </w:rPr>
              <w:t>Fase</w:t>
            </w:r>
          </w:p>
        </w:tc>
        <w:tc>
          <w:tcPr>
            <w:tcW w:type="dxa" w:w="3211"/>
            <w:shd w:val="clear" w:color="auto" w:fill="E8752A"/>
          </w:tcPr>
          <w:p>
            <w:r/>
            <w:r>
              <w:rPr>
                <w:b/>
                <w:color w:val="FFFFFF"/>
              </w:rPr>
              <w:t>Contenido</w:t>
            </w:r>
          </w:p>
        </w:tc>
        <w:tc>
          <w:tcPr>
            <w:tcW w:type="dxa" w:w="3211"/>
            <w:shd w:val="clear" w:color="auto" w:fill="E8752A"/>
          </w:tcPr>
          <w:p>
            <w:r/>
            <w:r>
              <w:rPr>
                <w:b/>
                <w:color w:val="FFFFFF"/>
              </w:rPr>
              <w:t>Objetivo</w:t>
            </w:r>
          </w:p>
        </w:tc>
      </w:tr>
      <w:tr>
        <w:tc>
          <w:tcPr>
            <w:tcW w:type="dxa" w:w="3211"/>
          </w:tcPr>
          <w:p>
            <w:r/>
            <w:r>
              <w:t>Fase 0 — Fundamentos</w:t>
            </w:r>
          </w:p>
        </w:tc>
        <w:tc>
          <w:tcPr>
            <w:tcW w:type="dxa" w:w="3211"/>
          </w:tcPr>
          <w:p>
            <w:r/>
            <w:r>
              <w:t>Tokens de diseño (color, tipografía, espaciado, radio, sombra, motion) documentados; componente de tarjeta de carta definitivo construido y probado en aislamiento.</w:t>
            </w:r>
          </w:p>
        </w:tc>
        <w:tc>
          <w:tcPr>
            <w:tcW w:type="dxa" w:w="3211"/>
          </w:tcPr>
          <w:p>
            <w:r/>
            <w:r>
              <w:t>Ninguna pantalla se construye antes de que exista el sistema que la sostiene.</w:t>
            </w:r>
          </w:p>
        </w:tc>
      </w:tr>
      <w:tr>
        <w:tc>
          <w:tcPr>
            <w:tcW w:type="dxa" w:w="3211"/>
          </w:tcPr>
          <w:p>
            <w:r/>
            <w:r>
              <w:t>Fase 1 — Reconstrucción del núcleo</w:t>
            </w:r>
          </w:p>
        </w:tc>
        <w:tc>
          <w:tcPr>
            <w:tcW w:type="dxa" w:w="3211"/>
          </w:tcPr>
          <w:p>
            <w:r/>
            <w:r>
              <w:t>Landing, Sobres (con la nueva ceremonia de apertura), Colección, Álbum, Mercado y Perfil migrados por completo al nuevo sistema visual, mobile-first.</w:t>
            </w:r>
          </w:p>
        </w:tc>
        <w:tc>
          <w:tcPr>
            <w:tcW w:type="dxa" w:w="3211"/>
          </w:tcPr>
          <w:p>
            <w:r/>
            <w:r>
              <w:t>Ninguna pantalla existente se queda a medio migrar.</w:t>
            </w:r>
          </w:p>
        </w:tc>
      </w:tr>
      <w:tr>
        <w:tc>
          <w:tcPr>
            <w:tcW w:type="dxa" w:w="3211"/>
          </w:tcPr>
          <w:p>
            <w:r/>
            <w:r>
              <w:t>Fase 2 — Nuevos sistemas de producto</w:t>
            </w:r>
          </w:p>
        </w:tc>
        <w:tc>
          <w:tcPr>
            <w:tcW w:type="dxa" w:w="3211"/>
          </w:tcPr>
          <w:p>
            <w:r/>
            <w:r>
              <w:t>Deck Builder (estilo Adrenalyn XL), Duelos (con la ceremonia de apuesta y el bloque de estadísticas ya definido), Misiones y minijuegos.</w:t>
            </w:r>
          </w:p>
        </w:tc>
        <w:tc>
          <w:tcPr>
            <w:tcW w:type="dxa" w:w="3211"/>
          </w:tcPr>
          <w:p>
            <w:r/>
            <w:r>
              <w:t>Cada sistema nuevo se construye sobre los componentes ya existentes, no desde cero.</w:t>
            </w:r>
          </w:p>
        </w:tc>
      </w:tr>
      <w:tr>
        <w:tc>
          <w:tcPr>
            <w:tcW w:type="dxa" w:w="3211"/>
          </w:tcPr>
          <w:p>
            <w:r/>
            <w:r>
              <w:t>Fase 3 — Pulido y escala</w:t>
            </w:r>
          </w:p>
        </w:tc>
        <w:tc>
          <w:tcPr>
            <w:tcW w:type="dxa" w:w="3211"/>
          </w:tcPr>
          <w:p>
            <w:r/>
            <w:r>
              <w:t>Panel de administración rediseñado con el mismo sistema, documentación de expansión de contenido para futuras temporadas, refinamiento final del motion de marca.</w:t>
            </w:r>
          </w:p>
        </w:tc>
        <w:tc>
          <w:tcPr>
            <w:tcW w:type="dxa" w:w="3211"/>
          </w:tcPr>
          <w:p>
            <w:r/>
            <w:r>
              <w:t>El producto queda preparado para crecer temporada tras temporada sin perder coherencia.</w:t>
            </w:r>
          </w:p>
        </w:tc>
      </w:tr>
    </w:tbl>
    <w:p/>
    <w:p>
      <w:r>
        <w:rPr>
          <w:b w:val="0"/>
          <w:i w:val="0"/>
        </w:rPr>
        <w:t>Dado que el proyecto lo ejecuta una sola persona sin fecha fija, cada fase debe cerrarse por completo — y ser presentable como versión estable — antes de abrir la siguiente.</w:t>
      </w:r>
    </w:p>
    <w:p/>
    <w:p>
      <w:pPr>
        <w:jc w:val="center"/>
      </w:pPr>
      <w:r>
        <w:rPr>
          <w:b w:val="0"/>
          <w:i/>
          <w:color w:val="5A5D66"/>
        </w:rPr>
        <w:t>— Fin del documento —</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81A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B05318"/>
      <w:sz w:val="4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81A1F"/>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B0531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