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05" w:rsidRPr="009748B8" w:rsidRDefault="00B11505" w:rsidP="00B11505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748B8">
        <w:rPr>
          <w:rFonts w:cstheme="minorHAnsi"/>
          <w:b/>
          <w:color w:val="000000" w:themeColor="text1"/>
          <w:sz w:val="24"/>
          <w:szCs w:val="24"/>
        </w:rPr>
        <w:t>Tabla de tareas</w:t>
      </w:r>
    </w:p>
    <w:tbl>
      <w:tblPr>
        <w:tblStyle w:val="Tablaconcuadrcula"/>
        <w:tblpPr w:leftFromText="141" w:rightFromText="141" w:vertAnchor="text" w:horzAnchor="margin" w:tblpXSpec="center" w:tblpY="198"/>
        <w:tblW w:w="9923" w:type="dxa"/>
        <w:tblLook w:val="04A0" w:firstRow="1" w:lastRow="0" w:firstColumn="1" w:lastColumn="0" w:noHBand="0" w:noVBand="1"/>
      </w:tblPr>
      <w:tblGrid>
        <w:gridCol w:w="3215"/>
        <w:gridCol w:w="2757"/>
        <w:gridCol w:w="3951"/>
      </w:tblGrid>
      <w:tr w:rsidR="00B11505" w:rsidRPr="009748B8" w:rsidTr="0065433A">
        <w:trPr>
          <w:trHeight w:val="567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Tarea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T1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Búsquedas</w:t>
            </w: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 xml:space="preserve"> sensibles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T2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Tutorial del Genopro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T3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Restructuración del registro de pacientes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T4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Elaboración de reportes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T5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Restructuración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del registro de citas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T6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Interconexión de las interfaces graficas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T7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Restructuración de la base de datos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T8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Validación del sistema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T9</w:t>
            </w:r>
          </w:p>
        </w:tc>
        <w:tc>
          <w:tcPr>
            <w:tcW w:w="2757" w:type="dxa"/>
          </w:tcPr>
          <w:p w:rsidR="00B11505" w:rsidRPr="009748B8" w:rsidRDefault="00B11505" w:rsidP="00B11505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Respaldar y restaurar la base de datos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T10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Documentación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74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T11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Manuales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36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748B8">
              <w:rPr>
                <w:rFonts w:cstheme="minorHAnsi"/>
                <w:b/>
                <w:color w:val="000000" w:themeColor="text1"/>
                <w:sz w:val="24"/>
                <w:szCs w:val="24"/>
              </w:rPr>
              <w:t>T12</w:t>
            </w:r>
          </w:p>
        </w:tc>
        <w:tc>
          <w:tcPr>
            <w:tcW w:w="2757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11505">
              <w:rPr>
                <w:rFonts w:cstheme="minorHAnsi"/>
                <w:color w:val="000000" w:themeColor="text1"/>
                <w:sz w:val="24"/>
                <w:szCs w:val="24"/>
              </w:rPr>
              <w:t>Diseño de Caja</w:t>
            </w: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36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T13</w:t>
            </w:r>
          </w:p>
        </w:tc>
        <w:tc>
          <w:tcPr>
            <w:tcW w:w="2757" w:type="dxa"/>
          </w:tcPr>
          <w:p w:rsidR="00B11505" w:rsidRPr="00B11505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36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T14</w:t>
            </w:r>
          </w:p>
        </w:tc>
        <w:tc>
          <w:tcPr>
            <w:tcW w:w="2757" w:type="dxa"/>
          </w:tcPr>
          <w:p w:rsidR="00B11505" w:rsidRPr="00B11505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B11505" w:rsidRPr="009748B8" w:rsidTr="0065433A">
        <w:trPr>
          <w:trHeight w:val="636"/>
        </w:trPr>
        <w:tc>
          <w:tcPr>
            <w:tcW w:w="3215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T15</w:t>
            </w:r>
            <w:bookmarkStart w:id="0" w:name="_GoBack"/>
            <w:bookmarkEnd w:id="0"/>
          </w:p>
        </w:tc>
        <w:tc>
          <w:tcPr>
            <w:tcW w:w="2757" w:type="dxa"/>
          </w:tcPr>
          <w:p w:rsidR="00B11505" w:rsidRPr="00B11505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951" w:type="dxa"/>
          </w:tcPr>
          <w:p w:rsidR="00B11505" w:rsidRPr="009748B8" w:rsidRDefault="00B11505" w:rsidP="0065433A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6B0254" w:rsidRDefault="00B11505" w:rsidP="00B11505">
      <w:pPr>
        <w:tabs>
          <w:tab w:val="left" w:pos="7119"/>
        </w:tabs>
      </w:pPr>
      <w:r>
        <w:tab/>
      </w:r>
    </w:p>
    <w:sectPr w:rsidR="006B0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05"/>
    <w:rsid w:val="002849AD"/>
    <w:rsid w:val="00335ECE"/>
    <w:rsid w:val="009E03C7"/>
    <w:rsid w:val="00B11505"/>
    <w:rsid w:val="00DB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1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1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2012-09-13T18:03:00Z</dcterms:created>
  <dcterms:modified xsi:type="dcterms:W3CDTF">2012-09-13T18:09:00Z</dcterms:modified>
</cp:coreProperties>
</file>