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CAD54" w14:textId="77777777" w:rsidR="0003309E" w:rsidRDefault="0003309E" w:rsidP="0003309E"/>
    <w:p w14:paraId="71B21EB8"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858A18A" w14:textId="77777777" w:rsidR="0003309E" w:rsidRDefault="0003309E" w:rsidP="0003309E">
                              <w:pPr>
                                <w:spacing w:after="0" w:line="240" w:lineRule="auto"/>
                                <w:rPr>
                                  <w:b/>
                                  <w:color w:val="FF0000"/>
                                  <w:sz w:val="48"/>
                                  <w:szCs w:val="48"/>
                                </w:rPr>
                              </w:pPr>
                            </w:p>
                            <w:p w14:paraId="5B3A0B57"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5CD1EB22"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5858A18A" w14:textId="77777777" w:rsidR="0003309E" w:rsidRDefault="0003309E" w:rsidP="0003309E">
                        <w:pPr>
                          <w:spacing w:after="0" w:line="240" w:lineRule="auto"/>
                          <w:rPr>
                            <w:b/>
                            <w:color w:val="FF0000"/>
                            <w:sz w:val="48"/>
                            <w:szCs w:val="48"/>
                          </w:rPr>
                        </w:pPr>
                      </w:p>
                      <w:p w14:paraId="5B3A0B57"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5CD1EB22"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59516351" w14:textId="77777777" w:rsidR="0003309E" w:rsidRDefault="0003309E" w:rsidP="0003309E">
      <w:pPr>
        <w:rPr>
          <w:rFonts w:cs="Calibri Light"/>
          <w:color w:val="595959" w:themeColor="text1" w:themeTint="A6"/>
          <w:sz w:val="24"/>
          <w:szCs w:val="24"/>
          <w:lang w:val="es-ES"/>
        </w:rPr>
      </w:pPr>
    </w:p>
    <w:p w14:paraId="225BF89D" w14:textId="77777777" w:rsidR="0003309E" w:rsidRDefault="0003309E" w:rsidP="0003309E">
      <w:pPr>
        <w:rPr>
          <w:rFonts w:cs="Calibri Light"/>
          <w:color w:val="595959" w:themeColor="text1" w:themeTint="A6"/>
          <w:sz w:val="24"/>
          <w:szCs w:val="24"/>
          <w:lang w:val="es-ES"/>
        </w:rPr>
      </w:pPr>
    </w:p>
    <w:p w14:paraId="3D5D5EE0" w14:textId="77777777" w:rsidR="0003309E" w:rsidRDefault="0003309E" w:rsidP="0003309E">
      <w:pPr>
        <w:rPr>
          <w:rFonts w:cs="Calibri Light"/>
          <w:color w:val="595959" w:themeColor="text1" w:themeTint="A6"/>
          <w:sz w:val="24"/>
          <w:szCs w:val="24"/>
          <w:lang w:val="es-ES"/>
        </w:rPr>
      </w:pPr>
    </w:p>
    <w:p w14:paraId="420D87EC" w14:textId="77777777" w:rsidR="0003309E" w:rsidRDefault="0003309E" w:rsidP="0003309E">
      <w:pPr>
        <w:rPr>
          <w:rFonts w:cs="Calibri Light"/>
          <w:color w:val="595959" w:themeColor="text1" w:themeTint="A6"/>
          <w:sz w:val="24"/>
          <w:szCs w:val="24"/>
          <w:lang w:val="es-ES"/>
        </w:rPr>
      </w:pPr>
    </w:p>
    <w:p w14:paraId="1C244CB1" w14:textId="77777777" w:rsidR="0003309E" w:rsidRDefault="0003309E" w:rsidP="0003309E">
      <w:pPr>
        <w:rPr>
          <w:rFonts w:cs="Calibri Light"/>
          <w:color w:val="595959" w:themeColor="text1" w:themeTint="A6"/>
          <w:sz w:val="24"/>
          <w:szCs w:val="24"/>
          <w:lang w:val="es-ES"/>
        </w:rPr>
      </w:pPr>
    </w:p>
    <w:p w14:paraId="379EE19E"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374CABD8" w14:textId="77777777" w:rsidTr="00C5122E">
        <w:trPr>
          <w:trHeight w:val="440"/>
        </w:trPr>
        <w:tc>
          <w:tcPr>
            <w:tcW w:w="9639" w:type="dxa"/>
            <w:vAlign w:val="center"/>
          </w:tcPr>
          <w:p w14:paraId="65423088"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 Resumen avance Proyecto APT</w:t>
            </w:r>
          </w:p>
        </w:tc>
      </w:tr>
      <w:tr w:rsidR="0003309E" w14:paraId="4CA8D377" w14:textId="77777777" w:rsidTr="00C5122E">
        <w:trPr>
          <w:trHeight w:val="800"/>
        </w:trPr>
        <w:tc>
          <w:tcPr>
            <w:tcW w:w="9639" w:type="dxa"/>
            <w:shd w:val="clear" w:color="auto" w:fill="D9E2F3" w:themeFill="accent1" w:themeFillTint="33"/>
            <w:vAlign w:val="center"/>
          </w:tcPr>
          <w:p w14:paraId="13696087"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03C54D75" w14:textId="77777777" w:rsidR="0003309E" w:rsidRDefault="0003309E" w:rsidP="0003309E">
      <w:pPr>
        <w:spacing w:after="0" w:line="240" w:lineRule="auto"/>
        <w:rPr>
          <w:rFonts w:cs="Calibri Light"/>
          <w:color w:val="595959" w:themeColor="text1" w:themeTint="A6"/>
          <w:sz w:val="24"/>
          <w:szCs w:val="24"/>
          <w:lang w:val="es-ES"/>
        </w:rPr>
      </w:pPr>
    </w:p>
    <w:p w14:paraId="43393115"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A51CBA" w14:textId="77777777" w:rsidTr="000A1331">
        <w:tc>
          <w:tcPr>
            <w:tcW w:w="2528" w:type="dxa"/>
            <w:vAlign w:val="center"/>
          </w:tcPr>
          <w:p w14:paraId="041CD996"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 de avance proyecto APT</w:t>
            </w:r>
          </w:p>
        </w:tc>
        <w:tc>
          <w:tcPr>
            <w:tcW w:w="7111" w:type="dxa"/>
          </w:tcPr>
          <w:p w14:paraId="61D3F2A2" w14:textId="47464AEB" w:rsidR="0003309E" w:rsidRPr="00EC10E2" w:rsidRDefault="009732D5" w:rsidP="00585A13">
            <w:pPr>
              <w:jc w:val="both"/>
              <w:rPr>
                <w:rFonts w:ascii="Calibri" w:hAnsi="Calibri" w:cs="Arial"/>
                <w:i/>
                <w:color w:val="4472C4" w:themeColor="accent1"/>
                <w:sz w:val="20"/>
                <w:szCs w:val="20"/>
                <w:lang w:eastAsia="es-CL"/>
              </w:rPr>
            </w:pPr>
            <w:r w:rsidRPr="00EC10E2">
              <w:rPr>
                <w:rFonts w:ascii="Calibri" w:hAnsi="Calibri" w:cs="Arial"/>
                <w:i/>
                <w:color w:val="4472C4" w:themeColor="accent1"/>
                <w:sz w:val="20"/>
                <w:szCs w:val="20"/>
                <w:lang w:eastAsia="es-CL"/>
              </w:rPr>
              <w:t>El proyecto completó la Épica 1: autenticación, usuarios y control de acceso por rol. En el backend se implementaron el inicio de sesión con JWT, la consulta del usuario autenticado, la creación y edición de usuarios (solo para administradores) y la autorización basada en cuatro roles, con contraseñas almacenadas como hash. Se verificó mediante pruebas de aceptación registradas en actas. En el frontend se construyó la pantalla de inicio de sesión en React, con sesión persistente, rutas protegidas y cierre de sesión. Todo el sistema se levanta con Docker (SQL Server, API y frontend), lo que asegura un entorno idéntico para los tres integrantes.</w:t>
            </w:r>
          </w:p>
          <w:p w14:paraId="1B1011F6" w14:textId="77777777" w:rsidR="0003309E" w:rsidRPr="00EC10E2" w:rsidRDefault="009732D5" w:rsidP="00585A13">
            <w:pPr>
              <w:jc w:val="both"/>
              <w:rPr>
                <w:rFonts w:ascii="Calibri" w:hAnsi="Calibri" w:cs="Arial"/>
                <w:i/>
                <w:color w:val="4472C4" w:themeColor="accent1"/>
                <w:sz w:val="20"/>
                <w:szCs w:val="20"/>
                <w:lang w:eastAsia="es-CL"/>
              </w:rPr>
            </w:pPr>
            <w:r w:rsidRPr="00EC10E2">
              <w:rPr>
                <w:rFonts w:ascii="Calibri" w:hAnsi="Calibri" w:cs="Arial"/>
                <w:i/>
                <w:color w:val="4472C4" w:themeColor="accent1"/>
                <w:sz w:val="20"/>
                <w:szCs w:val="20"/>
                <w:lang w:eastAsia="es-CL"/>
              </w:rPr>
              <w:t>Además, se actualizó el diseño de las épicas E2 a E4 a partir del análisis del esquema y del código fuente del sistema legado: el modelo E-R, el diagrama de clases, los diagramas de secuencia y las historias de usuario reflejan ahora sus reglas de negocio reales (cálculo de kilos, consumo parcial de tarjas, folio de proceso, anulaciones y stock de bandejas).</w:t>
            </w:r>
          </w:p>
          <w:p w14:paraId="528DCD6D" w14:textId="77777777" w:rsidR="0003309E" w:rsidRDefault="009732D5"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Con esto se cumplen avances de los objetivos específicos de arquitectura en tres capas y de eliminación de las vulnerabilidades del sistema legado (acceso directo a la base y contraseñas sin protección). Se ajustó el alcance a cuatro épicas, como se detalla en Objetivos.</w:t>
            </w:r>
          </w:p>
          <w:p w14:paraId="250EBE3E" w14:textId="77777777" w:rsidR="0003309E" w:rsidRPr="00711C16" w:rsidRDefault="0003309E" w:rsidP="00585A13">
            <w:pPr>
              <w:jc w:val="both"/>
              <w:rPr>
                <w:rFonts w:ascii="Calibri" w:hAnsi="Calibri" w:cs="Arial"/>
                <w:i/>
                <w:color w:val="548DD4"/>
                <w:sz w:val="20"/>
                <w:szCs w:val="20"/>
                <w:lang w:eastAsia="es-CL"/>
              </w:rPr>
            </w:pPr>
          </w:p>
        </w:tc>
      </w:tr>
      <w:tr w:rsidR="0003309E" w14:paraId="167B9DDE" w14:textId="77777777" w:rsidTr="000A1331">
        <w:trPr>
          <w:trHeight w:val="1247"/>
        </w:trPr>
        <w:tc>
          <w:tcPr>
            <w:tcW w:w="2528" w:type="dxa"/>
            <w:vAlign w:val="center"/>
          </w:tcPr>
          <w:p w14:paraId="764BDAFE"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571D30CB" w14:textId="77777777" w:rsidR="00255AC5" w:rsidRPr="00255AC5" w:rsidRDefault="00255AC5" w:rsidP="00255AC5">
            <w:pPr>
              <w:jc w:val="both"/>
              <w:rPr>
                <w:rFonts w:ascii="Calibri" w:hAnsi="Calibri" w:cs="Arial"/>
                <w:b/>
                <w:i/>
                <w:color w:val="548DD4"/>
                <w:sz w:val="20"/>
                <w:szCs w:val="20"/>
                <w:lang w:val="es-419" w:eastAsia="es-CL"/>
              </w:rPr>
            </w:pPr>
            <w:r>
              <w:rPr>
                <w:rFonts w:ascii="Calibri" w:hAnsi="Calibri" w:cs="Arial"/>
                <w:b/>
                <w:bCs/>
                <w:i/>
                <w:color w:val="548DD4"/>
                <w:sz w:val="20"/>
                <w:szCs w:val="20"/>
                <w:lang w:val="es-419" w:eastAsia="es-CL"/>
              </w:rPr>
              <w:t>Ajuste de alcance.</w:t>
            </w:r>
            <w:r>
              <w:rPr>
                <w:rFonts w:ascii="Calibri" w:hAnsi="Calibri" w:cs="Arial"/>
                <w:b/>
                <w:i/>
                <w:color w:val="548DD4"/>
                <w:sz w:val="20"/>
                <w:szCs w:val="20"/>
                <w:lang w:val="es-419" w:eastAsia="es-CL"/>
              </w:rPr>
              <w:t xml:space="preserve"> Se ratifica el producto mínimo viable de cuatro épicas: E1 Autenticación y control de acceso por rol, E2 Maestros core, E3 Recepción de tarjas y E4 Procesamiento de tarjas y auditoría. Los módulos de bodega, despacho y reportes de gestión, mencionados en la descripción y en los objetivos de la Fase 1, quedan para una fase posterior fuera del periodo académico.</w:t>
            </w:r>
          </w:p>
          <w:p w14:paraId="15E5B297" w14:textId="77777777" w:rsidR="00255AC5" w:rsidRPr="00255AC5" w:rsidRDefault="00255AC5" w:rsidP="00255AC5">
            <w:pPr>
              <w:jc w:val="both"/>
              <w:rPr>
                <w:rFonts w:ascii="Calibri" w:hAnsi="Calibri" w:cs="Arial"/>
                <w:b/>
                <w:i/>
                <w:color w:val="548DD4"/>
                <w:sz w:val="20"/>
                <w:szCs w:val="20"/>
                <w:lang w:val="es-419" w:eastAsia="es-CL"/>
              </w:rPr>
            </w:pPr>
            <w:r>
              <w:rPr>
                <w:rFonts w:ascii="Calibri" w:hAnsi="Calibri" w:cs="Arial"/>
                <w:b/>
                <w:bCs/>
                <w:i/>
                <w:color w:val="548DD4"/>
                <w:sz w:val="20"/>
                <w:szCs w:val="20"/>
                <w:lang w:val="es-419" w:eastAsia="es-CL"/>
              </w:rPr>
              <w:t>Objetivo general (ajustado):</w:t>
            </w:r>
            <w:r>
              <w:rPr>
                <w:rFonts w:ascii="Calibri" w:hAnsi="Calibri" w:cs="Arial"/>
                <w:b/>
                <w:i/>
                <w:color w:val="548DD4"/>
                <w:sz w:val="20"/>
                <w:szCs w:val="20"/>
                <w:lang w:val="es-419" w:eastAsia="es-CL"/>
              </w:rPr>
              <w:t xml:space="preserve"> Desarrollar e implementar el sistema de trazabilidad de fruta A2D SM bajo una arquitectura de tres capas (React – FastAPI – Base de datos) y estándares IEEE 830, ISO 9000 y PMI, eliminando las vulnerabilidades de </w:t>
            </w:r>
            <w:r>
              <w:rPr>
                <w:rFonts w:ascii="Calibri" w:hAnsi="Calibri" w:cs="Arial"/>
                <w:b/>
                <w:i/>
                <w:color w:val="548DD4"/>
                <w:sz w:val="20"/>
                <w:szCs w:val="20"/>
                <w:lang w:val="es-419" w:eastAsia="es-CL"/>
              </w:rPr>
              <w:lastRenderedPageBreak/>
              <w:t>seguridad del sistema legado y garantizando la integridad de las operaciones de recepción, procesamiento y auditoría.</w:t>
            </w:r>
          </w:p>
          <w:p w14:paraId="28011257" w14:textId="77777777" w:rsidR="00255AC5" w:rsidRPr="00255AC5" w:rsidRDefault="00255AC5" w:rsidP="00255AC5">
            <w:pPr>
              <w:jc w:val="both"/>
              <w:rPr>
                <w:rFonts w:ascii="Calibri" w:hAnsi="Calibri" w:cs="Arial"/>
                <w:b/>
                <w:i/>
                <w:color w:val="548DD4"/>
                <w:sz w:val="20"/>
                <w:szCs w:val="20"/>
                <w:lang w:val="es-419" w:eastAsia="es-CL"/>
              </w:rPr>
            </w:pPr>
            <w:r>
              <w:rPr>
                <w:rFonts w:ascii="Calibri" w:hAnsi="Calibri" w:cs="Arial"/>
                <w:b/>
                <w:bCs/>
                <w:i/>
                <w:color w:val="548DD4"/>
                <w:sz w:val="20"/>
                <w:szCs w:val="20"/>
                <w:lang w:val="es-419" w:eastAsia="es-CL"/>
              </w:rPr>
              <w:t>Objetivo específico 3 (ajustado):</w:t>
            </w:r>
            <w:r>
              <w:rPr>
                <w:rFonts w:ascii="Calibri" w:hAnsi="Calibri" w:cs="Arial"/>
                <w:b/>
                <w:i/>
                <w:color w:val="548DD4"/>
                <w:sz w:val="20"/>
                <w:szCs w:val="20"/>
                <w:lang w:val="es-419" w:eastAsia="es-CL"/>
              </w:rPr>
              <w:t xml:space="preserve"> Desarrollar la API backend en FastAPI para gestionar las reglas de negocio de recepción de fruta (tarjas, cálculo de kilos y stock de bandejas) y procesamiento (cálculo de rendimiento y merma).</w:t>
            </w:r>
          </w:p>
          <w:p w14:paraId="4C295205" w14:textId="77777777" w:rsidR="00255AC5" w:rsidRPr="00255AC5" w:rsidRDefault="00255AC5" w:rsidP="00255AC5">
            <w:pPr>
              <w:jc w:val="both"/>
              <w:rPr>
                <w:rFonts w:ascii="Calibri" w:hAnsi="Calibri" w:cs="Arial"/>
                <w:b/>
                <w:i/>
                <w:color w:val="548DD4"/>
                <w:sz w:val="20"/>
                <w:szCs w:val="20"/>
                <w:lang w:val="es-419" w:eastAsia="es-CL"/>
              </w:rPr>
            </w:pPr>
            <w:r>
              <w:rPr>
                <w:rFonts w:ascii="Calibri" w:hAnsi="Calibri" w:cs="Arial"/>
                <w:b/>
                <w:i/>
                <w:color w:val="548DD4"/>
                <w:sz w:val="20"/>
                <w:szCs w:val="20"/>
                <w:lang w:val="es-419" w:eastAsia="es-CL"/>
              </w:rPr>
              <w:t>Los demás objetivos específicos se mantienen sin cambios.</w:t>
            </w:r>
          </w:p>
          <w:p w14:paraId="683C6F6B" w14:textId="77777777" w:rsidR="00255AC5" w:rsidRPr="00255AC5" w:rsidRDefault="00255AC5" w:rsidP="00255AC5">
            <w:pPr>
              <w:jc w:val="both"/>
              <w:rPr>
                <w:rFonts w:ascii="Calibri" w:hAnsi="Calibri" w:cs="Arial"/>
                <w:b/>
                <w:i/>
                <w:color w:val="548DD4"/>
                <w:sz w:val="20"/>
                <w:szCs w:val="20"/>
                <w:lang w:val="es-419" w:eastAsia="es-CL"/>
              </w:rPr>
            </w:pPr>
            <w:r>
              <w:rPr>
                <w:rFonts w:ascii="Calibri" w:hAnsi="Calibri" w:cs="Arial"/>
                <w:b/>
                <w:bCs/>
                <w:i/>
                <w:color w:val="548DD4"/>
                <w:sz w:val="20"/>
                <w:szCs w:val="20"/>
                <w:lang w:val="es-419" w:eastAsia="es-CL"/>
              </w:rPr>
              <w:t>Roles del sistema:</w:t>
            </w:r>
            <w:r>
              <w:rPr>
                <w:rFonts w:ascii="Calibri" w:hAnsi="Calibri" w:cs="Arial"/>
                <w:b/>
                <w:i/>
                <w:color w:val="548DD4"/>
                <w:sz w:val="20"/>
                <w:szCs w:val="20"/>
                <w:lang w:val="es-419" w:eastAsia="es-CL"/>
              </w:rPr>
              <w:t xml:space="preserve"> operador de recepción, operador de proceso, administrador y gerencia. No se considera operador de bodega, porque ese módulo queda fuera del alcance.</w:t>
            </w:r>
          </w:p>
          <w:p w14:paraId="718B4165" w14:textId="77777777" w:rsidR="00255AC5" w:rsidRPr="00255AC5" w:rsidRDefault="00255AC5" w:rsidP="00255AC5">
            <w:pPr>
              <w:jc w:val="both"/>
              <w:rPr>
                <w:rFonts w:ascii="Calibri" w:hAnsi="Calibri" w:cs="Arial"/>
                <w:b/>
                <w:i/>
                <w:color w:val="548DD4"/>
                <w:sz w:val="20"/>
                <w:szCs w:val="20"/>
                <w:lang w:val="es-419" w:eastAsia="es-CL"/>
              </w:rPr>
            </w:pPr>
            <w:r>
              <w:rPr>
                <w:rFonts w:ascii="Calibri" w:hAnsi="Calibri" w:cs="Arial"/>
                <w:b/>
                <w:bCs/>
                <w:i/>
                <w:color w:val="548DD4"/>
                <w:sz w:val="20"/>
                <w:szCs w:val="20"/>
                <w:lang w:val="es-419" w:eastAsia="es-CL"/>
              </w:rPr>
              <w:t xml:space="preserve">Ajuste de diseño (2026-10-04): </w:t>
            </w:r>
            <w:r>
              <w:rPr>
                <w:rFonts w:ascii="Calibri" w:hAnsi="Calibri" w:cs="Arial"/>
                <w:b/>
                <w:i/>
                <w:color w:val="548DD4"/>
                <w:sz w:val="20"/>
                <w:szCs w:val="20"/>
                <w:lang w:val="es-419" w:eastAsia="es-CL"/>
              </w:rPr>
              <w:t>la tarja es el registro de recepción; la guía de recepción que agrupa tarjas (con la devolución de bandejas al productor) y la migración de datos del sistema legado quedan fuera del PMV, como trabajo posterior.</w:t>
            </w:r>
          </w:p>
          <w:p w14:paraId="0658C49E" w14:textId="77777777" w:rsidR="00C75ACA" w:rsidRPr="00C75ACA" w:rsidRDefault="00C75ACA" w:rsidP="00EC10E2">
            <w:pPr>
              <w:jc w:val="both"/>
              <w:rPr>
                <w:rFonts w:ascii="Calibri" w:hAnsi="Calibri" w:cs="Arial"/>
                <w:b/>
                <w:i/>
                <w:color w:val="548DD4"/>
                <w:sz w:val="20"/>
                <w:szCs w:val="20"/>
                <w:lang w:eastAsia="es-CL"/>
              </w:rPr>
            </w:pPr>
          </w:p>
        </w:tc>
      </w:tr>
      <w:tr w:rsidR="0003309E" w14:paraId="134BBC4F" w14:textId="77777777" w:rsidTr="000A1331">
        <w:trPr>
          <w:trHeight w:val="939"/>
        </w:trPr>
        <w:tc>
          <w:tcPr>
            <w:tcW w:w="2528" w:type="dxa"/>
            <w:vAlign w:val="center"/>
          </w:tcPr>
          <w:p w14:paraId="1F64178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5DE773A0" w14:textId="77777777" w:rsidR="0003309E" w:rsidRPr="00711C16" w:rsidRDefault="00255AC5"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Se mantiene Scrum con Poker Planning y sprints semanales. Se ajustan los roles del equipo: Alejandro Rodríguez como Project Manager, Angelo Galindo como QA y Diego Carrillo como Analista de base de datos. Los tres siguen participando en el desarrollo.</w:t>
            </w:r>
          </w:p>
        </w:tc>
      </w:tr>
      <w:tr w:rsidR="0003309E" w14:paraId="0E2C653C" w14:textId="77777777" w:rsidTr="000A1331">
        <w:trPr>
          <w:trHeight w:val="2377"/>
        </w:trPr>
        <w:tc>
          <w:tcPr>
            <w:tcW w:w="2528" w:type="dxa"/>
            <w:vAlign w:val="center"/>
          </w:tcPr>
          <w:p w14:paraId="5B83EDDA"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6F48A526" w14:textId="77777777" w:rsidR="00A416D7" w:rsidRDefault="00000000">
            <w:pPr>
              <w:jc w:val="both"/>
              <w:rPr>
                <w:rFonts w:ascii="Calibri" w:hAnsi="Calibri" w:cs="Arial"/>
                <w:i/>
                <w:color w:val="548DD4"/>
                <w:sz w:val="20"/>
                <w:szCs w:val="20"/>
                <w:lang w:eastAsia="es-CL"/>
              </w:rPr>
            </w:pPr>
            <w:r>
              <w:rPr>
                <w:rFonts w:ascii="Calibri" w:hAnsi="Calibri" w:cs="Arial"/>
                <w:i/>
                <w:color w:val="548DD4"/>
                <w:sz w:val="20"/>
                <w:szCs w:val="20"/>
                <w:lang w:eastAsia="es-CL"/>
              </w:rPr>
              <w:t>La evidencia de avance comprometida en la Fase 1 ("Módulos funcionales E1 y E2") se ajustó a la Épica 1 el 17/10/2026, porque la Carta Gantt ubica E2 en las semanas S9 y S10 (19/10 al 01/11); E2 pasa a la evidencia final junto con E3 y E4.</w:t>
            </w:r>
          </w:p>
          <w:p w14:paraId="50F4A4A8" w14:textId="77777777" w:rsidR="009732D5" w:rsidRDefault="009732D5" w:rsidP="009732D5">
            <w:pPr>
              <w:jc w:val="both"/>
              <w:rPr>
                <w:rFonts w:ascii="Calibri" w:hAnsi="Calibri" w:cs="Arial"/>
                <w:i/>
                <w:color w:val="548DD4"/>
                <w:sz w:val="20"/>
                <w:szCs w:val="20"/>
                <w:lang w:eastAsia="es-CL"/>
              </w:rPr>
            </w:pPr>
            <w:r>
              <w:rPr>
                <w:rFonts w:ascii="Calibri" w:hAnsi="Calibri" w:cs="Arial"/>
                <w:i/>
                <w:color w:val="548DD4"/>
                <w:sz w:val="20"/>
                <w:szCs w:val="20"/>
                <w:lang w:eastAsia="es-CL"/>
              </w:rPr>
              <w:t>Backend de autenticación operativo: POST /api/v1/auth/login, GET /api/v1/auth/me y gestión de usuarios (GET, POST y PUT /api/v1/auth/usuarios), protegidos por rol.</w:t>
            </w:r>
          </w:p>
          <w:p w14:paraId="545D92A1" w14:textId="77777777" w:rsidR="009732D5" w:rsidRDefault="009732D5" w:rsidP="009732D5">
            <w:pPr>
              <w:jc w:val="both"/>
              <w:rPr>
                <w:rFonts w:ascii="Calibri" w:hAnsi="Calibri" w:cs="Arial"/>
                <w:i/>
                <w:color w:val="548DD4"/>
                <w:sz w:val="20"/>
                <w:szCs w:val="20"/>
                <w:lang w:eastAsia="es-CL"/>
              </w:rPr>
            </w:pPr>
            <w:r>
              <w:rPr>
                <w:rFonts w:ascii="Calibri" w:hAnsi="Calibri" w:cs="Arial"/>
                <w:i/>
                <w:color w:val="548DD4"/>
                <w:sz w:val="20"/>
                <w:szCs w:val="20"/>
                <w:lang w:eastAsia="es-CL"/>
              </w:rPr>
              <w:t>Frontend de inicio de sesión en React (Vite y Tailwind), con sesión persistente, rutas protegidas y cierre de sesión.</w:t>
            </w:r>
          </w:p>
          <w:p w14:paraId="24CEFCE9" w14:textId="77777777" w:rsidR="009732D5" w:rsidRDefault="009732D5" w:rsidP="009732D5">
            <w:pPr>
              <w:jc w:val="both"/>
              <w:rPr>
                <w:rFonts w:ascii="Calibri" w:hAnsi="Calibri" w:cs="Arial"/>
                <w:i/>
                <w:color w:val="548DD4"/>
                <w:sz w:val="20"/>
                <w:szCs w:val="20"/>
                <w:lang w:eastAsia="es-CL"/>
              </w:rPr>
            </w:pPr>
            <w:r>
              <w:rPr>
                <w:rFonts w:ascii="Calibri" w:hAnsi="Calibri" w:cs="Arial"/>
                <w:i/>
                <w:color w:val="548DD4"/>
                <w:sz w:val="20"/>
                <w:szCs w:val="20"/>
                <w:lang w:eastAsia="es-CL"/>
              </w:rPr>
              <w:t>Base de datos SQL Server versionada con Alembic (2 migraciones).</w:t>
            </w:r>
          </w:p>
          <w:p w14:paraId="33C948FE" w14:textId="40BDB284" w:rsidR="009732D5" w:rsidRDefault="009732D5" w:rsidP="009732D5">
            <w:pPr>
              <w:jc w:val="both"/>
              <w:rPr>
                <w:rFonts w:ascii="Calibri" w:hAnsi="Calibri" w:cs="Arial"/>
                <w:i/>
                <w:color w:val="548DD4"/>
                <w:sz w:val="20"/>
                <w:szCs w:val="20"/>
                <w:lang w:eastAsia="es-CL"/>
              </w:rPr>
            </w:pPr>
            <w:r>
              <w:rPr>
                <w:rFonts w:ascii="Calibri" w:hAnsi="Calibri" w:cs="Arial"/>
                <w:i/>
                <w:color w:val="548DD4"/>
                <w:sz w:val="20"/>
                <w:szCs w:val="20"/>
                <w:lang w:eastAsia="es-CL"/>
              </w:rPr>
              <w:t>Documento de pruebas en docs/Pruebas/Pruebas.docx del repositorio: 15 pruebas de aceptación HTTP, 14 pruebas automáticas de las dependencias de autorización y 17 pruebas complementarias (edición de usuarios, roles repetidos y rol gerencia), todas aprobadas.</w:t>
            </w:r>
          </w:p>
          <w:p w14:paraId="4C0203A7" w14:textId="77777777" w:rsidR="009732D5" w:rsidRDefault="009732D5" w:rsidP="009732D5">
            <w:pPr>
              <w:jc w:val="both"/>
              <w:rPr>
                <w:rFonts w:ascii="Calibri" w:hAnsi="Calibri" w:cs="Arial"/>
                <w:i/>
                <w:color w:val="548DD4"/>
                <w:sz w:val="20"/>
                <w:szCs w:val="20"/>
                <w:lang w:eastAsia="es-CL"/>
              </w:rPr>
            </w:pPr>
            <w:r>
              <w:rPr>
                <w:rFonts w:ascii="Calibri" w:hAnsi="Calibri" w:cs="Arial"/>
                <w:i/>
                <w:color w:val="548DD4"/>
                <w:sz w:val="20"/>
                <w:szCs w:val="20"/>
                <w:lang w:eastAsia="es-CL"/>
              </w:rPr>
              <w:t>Entorno completo con Docker (docker compose up -d --build) y guía para levantarlo (docs/Como_Levantar_El_Proyecto.md).</w:t>
            </w:r>
          </w:p>
          <w:p w14:paraId="0452ED2C" w14:textId="4090D777" w:rsidR="009732D5" w:rsidRDefault="009732D5" w:rsidP="009732D5">
            <w:pPr>
              <w:jc w:val="both"/>
              <w:rPr>
                <w:rFonts w:ascii="Calibri" w:hAnsi="Calibri" w:cs="Arial"/>
                <w:i/>
                <w:color w:val="548DD4"/>
                <w:sz w:val="20"/>
                <w:szCs w:val="20"/>
                <w:lang w:eastAsia="es-CL"/>
              </w:rPr>
            </w:pPr>
            <w:r>
              <w:rPr>
                <w:rFonts w:ascii="Calibri" w:hAnsi="Calibri" w:cs="Arial"/>
                <w:i/>
                <w:color w:val="548DD4"/>
                <w:sz w:val="20"/>
                <w:szCs w:val="20"/>
                <w:lang w:eastAsia="es-CL"/>
              </w:rPr>
              <w:t>Diseño actualizado de E1 a E4 en el Documento 05 (Documento de Diseño) y en el Documento 02 (Product Backlog), a partir del análisis del sistema legado.</w:t>
            </w:r>
          </w:p>
          <w:p w14:paraId="7C6159BE" w14:textId="77777777" w:rsidR="0003309E" w:rsidRPr="00A370C8" w:rsidRDefault="009732D5" w:rsidP="009732D5">
            <w:pPr>
              <w:jc w:val="both"/>
              <w:rPr>
                <w:rFonts w:ascii="Calibri" w:hAnsi="Calibri" w:cs="Arial"/>
                <w:b/>
                <w:i/>
                <w:color w:val="548DD4"/>
                <w:sz w:val="20"/>
                <w:szCs w:val="20"/>
                <w:lang w:eastAsia="es-CL"/>
              </w:rPr>
            </w:pPr>
            <w:r>
              <w:rPr>
                <w:rFonts w:ascii="Calibri" w:hAnsi="Calibri" w:cs="Arial"/>
                <w:b/>
                <w:i/>
                <w:color w:val="548DD4"/>
                <w:sz w:val="20"/>
                <w:szCs w:val="20"/>
                <w:lang w:eastAsia="es-CL"/>
              </w:rPr>
              <w:t>Repositorio del sistema: https://github.com/Alejandroduoc/A2D_SM</w:t>
            </w:r>
          </w:p>
          <w:p w14:paraId="3DBCC708" w14:textId="77777777" w:rsidR="0003309E" w:rsidRPr="00A370C8" w:rsidRDefault="0003309E" w:rsidP="009732D5">
            <w:pPr>
              <w:jc w:val="both"/>
              <w:rPr>
                <w:rFonts w:ascii="Calibri" w:hAnsi="Calibri" w:cs="Arial"/>
                <w:b/>
                <w:i/>
                <w:color w:val="548DD4"/>
                <w:sz w:val="20"/>
                <w:szCs w:val="20"/>
                <w:lang w:eastAsia="es-CL"/>
              </w:rPr>
            </w:pP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6F70E928" w14:textId="77777777" w:rsidTr="000A1331">
        <w:trPr>
          <w:trHeight w:val="440"/>
        </w:trPr>
        <w:tc>
          <w:tcPr>
            <w:tcW w:w="9640" w:type="dxa"/>
            <w:vAlign w:val="center"/>
          </w:tcPr>
          <w:p w14:paraId="583474C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724D390C" w14:textId="77777777" w:rsidTr="000A1331">
        <w:trPr>
          <w:trHeight w:val="800"/>
        </w:trPr>
        <w:tc>
          <w:tcPr>
            <w:tcW w:w="9640" w:type="dxa"/>
            <w:shd w:val="clear" w:color="auto" w:fill="D9E2F3" w:themeFill="accent1" w:themeFillTint="33"/>
            <w:vAlign w:val="center"/>
          </w:tcPr>
          <w:p w14:paraId="59AD8ED4" w14:textId="77777777"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Examina cuidadosamente tu plan de trabajo, enfocándote especialmente en la columna de estado de avance y ajustes.</w:t>
            </w:r>
          </w:p>
        </w:tc>
      </w:tr>
    </w:tbl>
    <w:p w14:paraId="17927FFE"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7032A6F9" w14:textId="77777777" w:rsidTr="00EA0C09">
        <w:trPr>
          <w:trHeight w:val="415"/>
        </w:trPr>
        <w:tc>
          <w:tcPr>
            <w:tcW w:w="9776" w:type="dxa"/>
            <w:gridSpan w:val="8"/>
            <w:vAlign w:val="center"/>
          </w:tcPr>
          <w:p w14:paraId="6A44E5D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17341097" w14:textId="77777777" w:rsidTr="009552E5">
        <w:trPr>
          <w:trHeight w:val="711"/>
        </w:trPr>
        <w:tc>
          <w:tcPr>
            <w:tcW w:w="1328" w:type="dxa"/>
            <w:vAlign w:val="center"/>
          </w:tcPr>
          <w:p w14:paraId="623C82EF"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077" w:type="dxa"/>
            <w:vAlign w:val="center"/>
          </w:tcPr>
          <w:p w14:paraId="4677FAFE"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76" w:type="dxa"/>
            <w:vAlign w:val="center"/>
          </w:tcPr>
          <w:p w14:paraId="03E4B8E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76" w:type="dxa"/>
            <w:vAlign w:val="center"/>
          </w:tcPr>
          <w:p w14:paraId="7895DBC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75" w:type="dxa"/>
            <w:vAlign w:val="center"/>
          </w:tcPr>
          <w:p w14:paraId="281CDF5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276" w:type="dxa"/>
            <w:vAlign w:val="center"/>
          </w:tcPr>
          <w:p w14:paraId="76B11798"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418" w:type="dxa"/>
            <w:vAlign w:val="center"/>
          </w:tcPr>
          <w:p w14:paraId="02E32041"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850" w:type="dxa"/>
            <w:vAlign w:val="center"/>
          </w:tcPr>
          <w:p w14:paraId="5E58FECE"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RPr="006E3B0D" w14:paraId="0B82E0B5" w14:textId="77777777" w:rsidTr="00EA0C09">
        <w:trPr>
          <w:trHeight w:val="2410"/>
        </w:trPr>
        <w:tc>
          <w:tcPr>
            <w:tcW w:w="1328" w:type="dxa"/>
          </w:tcPr>
          <w:p w14:paraId="436D1C9D" w14:textId="77777777" w:rsidR="00FD5149" w:rsidRPr="006E3B0D" w:rsidRDefault="00B231DD" w:rsidP="00FD5149">
            <w:pPr>
              <w:jc w:val="both"/>
              <w:rPr>
                <w:b/>
                <w:sz w:val="18"/>
                <w:szCs w:val="24"/>
              </w:rPr>
            </w:pPr>
            <w:r>
              <w:rPr>
                <w:rFonts w:ascii="Calibri" w:hAnsi="Calibri" w:cs="Arial"/>
                <w:b/>
                <w:bCs/>
                <w:i/>
                <w:color w:val="548DD4"/>
                <w:sz w:val="18"/>
                <w:szCs w:val="20"/>
                <w:lang w:eastAsia="es-CL"/>
              </w:rPr>
              <w:t>Gestionar proyectos informáticos utilizando metodologías ágiles y herramientas de planificación.</w:t>
            </w:r>
          </w:p>
        </w:tc>
        <w:tc>
          <w:tcPr>
            <w:tcW w:w="1077" w:type="dxa"/>
          </w:tcPr>
          <w:p w14:paraId="4BEF8FDF" w14:textId="77777777" w:rsidR="00FD5149" w:rsidRPr="006E3B0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Planificar el desarrollo mediante épicas, historias de usuario, Story Points y sprints semanales. Mantener el backlog priorizado y registrar los avances del equipo.</w:t>
            </w:r>
          </w:p>
        </w:tc>
        <w:tc>
          <w:tcPr>
            <w:tcW w:w="1276" w:type="dxa"/>
          </w:tcPr>
          <w:p w14:paraId="406F39E0" w14:textId="77777777" w:rsidR="00FD5149" w:rsidRPr="006E3B0D" w:rsidRDefault="00B231DD" w:rsidP="00FD5149">
            <w:pPr>
              <w:jc w:val="both"/>
              <w:rPr>
                <w:b/>
                <w:sz w:val="18"/>
                <w:szCs w:val="24"/>
              </w:rPr>
            </w:pPr>
            <w:r>
              <w:rPr>
                <w:rFonts w:ascii="Calibri" w:hAnsi="Calibri" w:cs="Arial"/>
                <w:i/>
                <w:color w:val="548DD4"/>
                <w:sz w:val="18"/>
                <w:szCs w:val="20"/>
                <w:lang w:eastAsia="es-CL"/>
              </w:rPr>
              <w:t>Scrum, Poker Planning, GitHub, repositorio A2D_SM, documentos de planificación y backlog.</w:t>
            </w:r>
          </w:p>
        </w:tc>
        <w:tc>
          <w:tcPr>
            <w:tcW w:w="1276" w:type="dxa"/>
          </w:tcPr>
          <w:p w14:paraId="060C1461" w14:textId="77777777" w:rsidR="00FD5149" w:rsidRPr="006E3B0D" w:rsidRDefault="00B231DD" w:rsidP="00FD5149">
            <w:pPr>
              <w:jc w:val="both"/>
              <w:rPr>
                <w:b/>
                <w:sz w:val="18"/>
                <w:szCs w:val="24"/>
              </w:rPr>
            </w:pPr>
            <w:r>
              <w:rPr>
                <w:rFonts w:ascii="Calibri" w:hAnsi="Calibri" w:cs="Arial"/>
                <w:i/>
                <w:color w:val="548DD4"/>
                <w:sz w:val="18"/>
                <w:szCs w:val="20"/>
                <w:lang w:eastAsia="es-CL"/>
              </w:rPr>
              <w:t>Durante todo el proyecto. Sprints semanales.</w:t>
            </w:r>
          </w:p>
        </w:tc>
        <w:tc>
          <w:tcPr>
            <w:tcW w:w="1275" w:type="dxa"/>
          </w:tcPr>
          <w:p w14:paraId="18768417" w14:textId="77777777" w:rsidR="00FD5149" w:rsidRPr="006E3B0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Alejandro Rodríguez, Project Manager.</w:t>
            </w:r>
          </w:p>
        </w:tc>
        <w:tc>
          <w:tcPr>
            <w:tcW w:w="1276" w:type="dxa"/>
          </w:tcPr>
          <w:p w14:paraId="15B61856" w14:textId="77777777" w:rsidR="00FD5149" w:rsidRPr="006E3B0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El backlog contempla cuatro épicas y 25 historias de usuario. Las 23 originales suman 84 Story Points; HU24 y HU25 (anulación de tarjas y de procesos, agregadas el 2026-10-04) están por estimar.</w:t>
            </w:r>
          </w:p>
        </w:tc>
        <w:tc>
          <w:tcPr>
            <w:tcW w:w="1418" w:type="dxa"/>
          </w:tcPr>
          <w:p w14:paraId="05D054A4" w14:textId="77777777" w:rsidR="00FD5149" w:rsidRPr="00E54467" w:rsidRDefault="00B231DD" w:rsidP="00FD5149">
            <w:pPr>
              <w:jc w:val="both"/>
              <w:rPr>
                <w:rFonts w:ascii="Calibri" w:hAnsi="Calibri" w:cs="Arial"/>
                <w:i/>
                <w:color w:val="C00000"/>
                <w:sz w:val="16"/>
                <w:szCs w:val="20"/>
                <w:lang w:eastAsia="es-CL"/>
              </w:rPr>
            </w:pPr>
            <w:r>
              <w:rPr>
                <w:rFonts w:ascii="Calibri" w:hAnsi="Calibri" w:cs="Arial"/>
                <w:b/>
                <w:bCs/>
                <w:i/>
                <w:color w:val="548DD4"/>
                <w:sz w:val="18"/>
                <w:szCs w:val="20"/>
                <w:lang w:eastAsia="es-CL"/>
              </w:rPr>
              <w:t>En ejecución.</w:t>
            </w:r>
            <w:r>
              <w:rPr>
                <w:rFonts w:ascii="Calibri" w:hAnsi="Calibri" w:cs="Arial"/>
                <w:i/>
                <w:color w:val="548DD4"/>
                <w:sz w:val="18"/>
                <w:szCs w:val="20"/>
                <w:lang w:eastAsia="es-CL"/>
              </w:rPr>
              <w:t xml:space="preserve"> El backlog, las épicas, las historias de usuario y la planificación de sprints están documentados.</w:t>
            </w:r>
          </w:p>
        </w:tc>
        <w:tc>
          <w:tcPr>
            <w:tcW w:w="850" w:type="dxa"/>
          </w:tcPr>
          <w:p w14:paraId="244BD04D" w14:textId="77777777" w:rsidR="00FD5149" w:rsidRPr="006E3B0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 ajustó el alcance original a cuatro épicas. Se eliminaron bodega, despacho y reportes de gestión del PMV</w:t>
            </w:r>
          </w:p>
        </w:tc>
      </w:tr>
      <w:tr w:rsidR="00B231DD" w:rsidRPr="006E3B0D" w14:paraId="7F1E9B36" w14:textId="77777777" w:rsidTr="00EA0C09">
        <w:trPr>
          <w:trHeight w:val="2410"/>
        </w:trPr>
        <w:tc>
          <w:tcPr>
            <w:tcW w:w="1328" w:type="dxa"/>
          </w:tcPr>
          <w:p w14:paraId="36F34537" w14:textId="77777777" w:rsidR="00B231DD" w:rsidRPr="00B231DD" w:rsidRDefault="00B231DD"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Diseñar soluciones informáticas considerando arquitectura, seguridad y mantenibilidad.</w:t>
            </w:r>
          </w:p>
        </w:tc>
        <w:tc>
          <w:tcPr>
            <w:tcW w:w="1077" w:type="dxa"/>
          </w:tcPr>
          <w:p w14:paraId="2DB31112" w14:textId="77777777" w:rsidR="00B231DD" w:rsidRPr="00B231D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Definir la arquitectura de tres capas: frontend, API backend y base de datos. Diseñar los diagramas de casos de uso, modelo E-R, clases, secuencia y componentes.</w:t>
            </w:r>
          </w:p>
        </w:tc>
        <w:tc>
          <w:tcPr>
            <w:tcW w:w="1276" w:type="dxa"/>
          </w:tcPr>
          <w:p w14:paraId="49A29AF5" w14:textId="77777777" w:rsidR="00B231DD" w:rsidRPr="00B231D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diagramas/Diagramas_Diseno.md, Mermaid, SQLAlchemy, FastAPI, React, SQL Server, Docker.</w:t>
            </w:r>
          </w:p>
        </w:tc>
        <w:tc>
          <w:tcPr>
            <w:tcW w:w="1276" w:type="dxa"/>
          </w:tcPr>
          <w:p w14:paraId="7E1F846A" w14:textId="77777777" w:rsidR="00B231DD" w:rsidRPr="00B231D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1 a 2 semanas, con actualización durante el desarrollo.</w:t>
            </w:r>
          </w:p>
        </w:tc>
        <w:tc>
          <w:tcPr>
            <w:tcW w:w="1275" w:type="dxa"/>
          </w:tcPr>
          <w:p w14:paraId="1A27C76D" w14:textId="77777777" w:rsidR="00B231DD" w:rsidRPr="00B231D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Alejandro Rodríguez (diagramas), con revisión del equipo.</w:t>
            </w:r>
          </w:p>
        </w:tc>
        <w:tc>
          <w:tcPr>
            <w:tcW w:w="1276" w:type="dxa"/>
          </w:tcPr>
          <w:p w14:paraId="031A7040" w14:textId="77777777" w:rsidR="00B231DD" w:rsidRPr="00B231D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La arquitectura establece que ningún cliente se conecta directamente a la base de datos.</w:t>
            </w:r>
          </w:p>
        </w:tc>
        <w:tc>
          <w:tcPr>
            <w:tcW w:w="1418" w:type="dxa"/>
          </w:tcPr>
          <w:p w14:paraId="2850FDF3" w14:textId="77777777" w:rsidR="00B231DD" w:rsidRPr="00B231DD" w:rsidRDefault="00B231DD"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Avanzada. La arquitectura y los diagramas están documentados. El 2026-10-04 se actualizaron el modelo E-R, el diagrama de clases, la secuencia de recepción y las historias de usuario con las reglas de negocio obtenidas del sistema legado.</w:t>
            </w:r>
          </w:p>
        </w:tc>
        <w:tc>
          <w:tcPr>
            <w:tcW w:w="850" w:type="dxa"/>
          </w:tcPr>
          <w:p w14:paraId="462B1DAF" w14:textId="77777777" w:rsidR="00B231DD" w:rsidRPr="00B231D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 ajustaron los roles y se quitaron módulos fuera del alcance. El modelo E-R se rediseñó desde el código del sistema legado (ver </w:t>
            </w:r>
            <w:r>
              <w:rPr>
                <w:rFonts w:ascii="Calibri" w:hAnsi="Calibri" w:cs="Arial"/>
                <w:i/>
                <w:color w:val="548DD4"/>
                <w:sz w:val="18"/>
                <w:szCs w:val="20"/>
                <w:lang w:eastAsia="es-CL"/>
              </w:rPr>
              <w:lastRenderedPageBreak/>
              <w:t>sección 3).</w:t>
            </w:r>
          </w:p>
        </w:tc>
      </w:tr>
      <w:tr w:rsidR="00B231DD" w:rsidRPr="006E3B0D" w14:paraId="676036AC" w14:textId="77777777" w:rsidTr="00EA0C09">
        <w:trPr>
          <w:trHeight w:val="2410"/>
        </w:trPr>
        <w:tc>
          <w:tcPr>
            <w:tcW w:w="1328" w:type="dxa"/>
          </w:tcPr>
          <w:p w14:paraId="5435623F" w14:textId="77777777" w:rsidR="00B231DD" w:rsidRPr="00B231DD" w:rsidRDefault="00B231DD"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lastRenderedPageBreak/>
              <w:t>Implementar mecanismos de autenticación y control de acceso.</w:t>
            </w:r>
          </w:p>
        </w:tc>
        <w:tc>
          <w:tcPr>
            <w:tcW w:w="1077" w:type="dxa"/>
          </w:tcPr>
          <w:p w14:paraId="1F070001" w14:textId="77777777" w:rsidR="00B231DD" w:rsidRPr="00B231D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Crear usuarios, roles, login, generación de tokens JWT, hash de contraseñas, consulta del usuario autenticado y autorización por roles.</w:t>
            </w:r>
          </w:p>
        </w:tc>
        <w:tc>
          <w:tcPr>
            <w:tcW w:w="1276" w:type="dxa"/>
          </w:tcPr>
          <w:p w14:paraId="6A97D62A" w14:textId="77777777" w:rsidR="00B231DD" w:rsidRPr="00B231DD" w:rsidRDefault="00B231DD"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FastAPI, Pydantic, python-jose, Passlib, bcrypt, SQLAlchemy, SQL Server, app/core/security.py, app/api/deps.py.</w:t>
            </w:r>
          </w:p>
        </w:tc>
        <w:tc>
          <w:tcPr>
            <w:tcW w:w="1276" w:type="dxa"/>
          </w:tcPr>
          <w:p w14:paraId="5E00051D" w14:textId="15F66395" w:rsidR="00B231DD" w:rsidRPr="00B231DD"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Semanas S4 a S6 (18/09 al 04/10), antes de lo planificado en la Carta Gantt (S7–S8)</w:t>
            </w:r>
          </w:p>
        </w:tc>
        <w:tc>
          <w:tcPr>
            <w:tcW w:w="1275" w:type="dxa"/>
          </w:tcPr>
          <w:p w14:paraId="41D10D0A" w14:textId="77777777" w:rsidR="00B231DD"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Alejandro Rodríguez (modelo de usuarios y script del administrador), Diego Carrillo (router de autenticación y correcciones), Angelo Galindo (dependencias de autorización).</w:t>
            </w:r>
          </w:p>
        </w:tc>
        <w:tc>
          <w:tcPr>
            <w:tcW w:w="1276" w:type="dxa"/>
          </w:tcPr>
          <w:p w14:paraId="0BEE1ADE" w14:textId="77777777" w:rsidR="00B231DD" w:rsidRPr="00B231DD"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 definieron los roles de operador de recepción, operador de proceso, administrador y gerencia</w:t>
            </w:r>
          </w:p>
        </w:tc>
        <w:tc>
          <w:tcPr>
            <w:tcW w:w="1418" w:type="dxa"/>
          </w:tcPr>
          <w:p w14:paraId="48896F25" w14:textId="77777777" w:rsidR="00B231DD" w:rsidRPr="00B231DD" w:rsidRDefault="00253A89"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Completada para el backend. La API, los modelos, el login, la gestión de usuarios y las dependencias de autorización están implementados y probados.</w:t>
            </w:r>
          </w:p>
        </w:tc>
        <w:tc>
          <w:tcPr>
            <w:tcW w:w="850" w:type="dxa"/>
          </w:tcPr>
          <w:p w14:paraId="5B79B6A1" w14:textId="77777777" w:rsidR="00B231DD" w:rsidRPr="00B231DD"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 reemplazó la definición inicial de “Operador y Administrador” por cuatro roles específicos. Se descartaron productor externo, cliente y operador de bodega.</w:t>
            </w:r>
          </w:p>
        </w:tc>
      </w:tr>
      <w:tr w:rsidR="00253A89" w:rsidRPr="006E3B0D" w14:paraId="65FC128A" w14:textId="77777777" w:rsidTr="00EA0C09">
        <w:trPr>
          <w:trHeight w:val="2410"/>
        </w:trPr>
        <w:tc>
          <w:tcPr>
            <w:tcW w:w="1328" w:type="dxa"/>
          </w:tcPr>
          <w:p w14:paraId="711E4BCF" w14:textId="77777777" w:rsidR="00253A89" w:rsidRPr="00B231DD" w:rsidRDefault="00253A89"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Diseñar e implementar la base de datos y sus migraciones.</w:t>
            </w:r>
          </w:p>
        </w:tc>
        <w:tc>
          <w:tcPr>
            <w:tcW w:w="1077" w:type="dxa"/>
          </w:tcPr>
          <w:p w14:paraId="324F308C" w14:textId="77777777" w:rsidR="00253A89" w:rsidRPr="00B231DD"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Crear el modelo de usuarios y roles, configurar SQL Server, generar la migración inicial y documentar el procedimiento para aplicar futuras migraciones.</w:t>
            </w:r>
          </w:p>
        </w:tc>
        <w:tc>
          <w:tcPr>
            <w:tcW w:w="1276" w:type="dxa"/>
          </w:tcPr>
          <w:p w14:paraId="23063783" w14:textId="77777777" w:rsidR="00253A89" w:rsidRPr="00B231DD"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SQL Server 2022, Docker, SQLAlchemy 2.0, Alembic, app/models/usuario.py, migrations/env.py, alembic.ini.</w:t>
            </w:r>
          </w:p>
        </w:tc>
        <w:tc>
          <w:tcPr>
            <w:tcW w:w="1276" w:type="dxa"/>
          </w:tcPr>
          <w:p w14:paraId="408C6F76" w14:textId="77777777" w:rsidR="00253A89"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275" w:type="dxa"/>
          </w:tcPr>
          <w:p w14:paraId="669CD7A8" w14:textId="77777777" w:rsidR="00253A89"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Diego Carrillo (analista de base de datos), Angelo Galindo (configuración de Alembic y migración inicial), Alejandro Rodríguez (migración del rol gerencia).</w:t>
            </w:r>
          </w:p>
        </w:tc>
        <w:tc>
          <w:tcPr>
            <w:tcW w:w="1276" w:type="dxa"/>
          </w:tcPr>
          <w:p w14:paraId="2A0A4769" w14:textId="77777777" w:rsidR="00253A89" w:rsidRPr="00253A89"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La migración inicial crea usuarios, usuario_roles y alembic_version. Una segunda migración renombró el rol supervisor a gerencia sin perder datos.</w:t>
            </w:r>
          </w:p>
        </w:tc>
        <w:tc>
          <w:tcPr>
            <w:tcW w:w="1418" w:type="dxa"/>
          </w:tcPr>
          <w:p w14:paraId="676258E4" w14:textId="77777777" w:rsidR="00253A89" w:rsidRPr="00253A89" w:rsidRDefault="00253A89"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Completada para E1. Las dos migraciones están versionadas y se aplican con alembic upgrade head.</w:t>
            </w:r>
          </w:p>
        </w:tc>
        <w:tc>
          <w:tcPr>
            <w:tcW w:w="850" w:type="dxa"/>
          </w:tcPr>
          <w:p w14:paraId="42F90330" w14:textId="77777777" w:rsidR="00253A89" w:rsidRPr="00253A89"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 decidió utilizar SQL Server desde el comienzo y no SQLite. Las nuevas entidades de E2, E3 y E4 se agregarán mediante nuevas migraciones.</w:t>
            </w:r>
          </w:p>
        </w:tc>
      </w:tr>
      <w:tr w:rsidR="00253A89" w:rsidRPr="006E3B0D" w14:paraId="41947D95" w14:textId="77777777" w:rsidTr="00EA0C09">
        <w:trPr>
          <w:trHeight w:val="2410"/>
        </w:trPr>
        <w:tc>
          <w:tcPr>
            <w:tcW w:w="1328" w:type="dxa"/>
          </w:tcPr>
          <w:p w14:paraId="12602AA0" w14:textId="77777777" w:rsidR="00253A89" w:rsidRPr="00253A89" w:rsidRDefault="00253A89"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lastRenderedPageBreak/>
              <w:t>Realizar pruebas funcionales, de integración y de seguridad.</w:t>
            </w:r>
          </w:p>
        </w:tc>
        <w:tc>
          <w:tcPr>
            <w:tcW w:w="1077" w:type="dxa"/>
          </w:tcPr>
          <w:p w14:paraId="0E500496" w14:textId="77777777" w:rsidR="00253A89" w:rsidRPr="00253A89"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Probar /health, login correcto e incorrecto, usuarios desactivados, roles, creación de usuarios, contraseñas cifradas y respuestas sin password_hash.</w:t>
            </w:r>
          </w:p>
        </w:tc>
        <w:tc>
          <w:tcPr>
            <w:tcW w:w="1276" w:type="dxa"/>
          </w:tcPr>
          <w:p w14:paraId="2ECC9468" w14:textId="77777777" w:rsidR="00253A89" w:rsidRPr="00253A89"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Docker, FastAPI, pruebas en sistema/backend/tests/, documento Resultados_Pruebas_E1_2026-10-03.md.</w:t>
            </w:r>
          </w:p>
        </w:tc>
        <w:tc>
          <w:tcPr>
            <w:tcW w:w="1276" w:type="dxa"/>
          </w:tcPr>
          <w:p w14:paraId="7966302C" w14:textId="77777777" w:rsidR="00253A89" w:rsidRPr="00253A89"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Al cierre de cada épica (1 semana).</w:t>
            </w:r>
          </w:p>
        </w:tc>
        <w:tc>
          <w:tcPr>
            <w:tcW w:w="1275" w:type="dxa"/>
          </w:tcPr>
          <w:p w14:paraId="6052F262" w14:textId="77777777" w:rsidR="00253A89"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Angelo Galindo (QA).</w:t>
            </w:r>
          </w:p>
        </w:tc>
        <w:tc>
          <w:tcPr>
            <w:tcW w:w="1276" w:type="dxa"/>
          </w:tcPr>
          <w:p w14:paraId="692970BE" w14:textId="77777777" w:rsidR="00253A89" w:rsidRPr="00253A89"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Las pruebas deben ejecutarse dentro de Docker para asegurar que sean reproducibles.</w:t>
            </w:r>
          </w:p>
        </w:tc>
        <w:tc>
          <w:tcPr>
            <w:tcW w:w="1418" w:type="dxa"/>
          </w:tcPr>
          <w:p w14:paraId="75D70C60" w14:textId="77777777" w:rsidR="00253A89" w:rsidRPr="00253A89" w:rsidRDefault="00253A89"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Completada para el backend de E1. Se documentaron los criterios HTTP y se verificaron las dependencias de autenticación.</w:t>
            </w:r>
          </w:p>
        </w:tc>
        <w:tc>
          <w:tcPr>
            <w:tcW w:w="850" w:type="dxa"/>
          </w:tcPr>
          <w:p w14:paraId="5602B988" w14:textId="77777777" w:rsidR="00253A89" w:rsidRPr="00253A89" w:rsidRDefault="00253A89"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Las pruebas del frontend y de E2–E4 quedan pendientes. Se agregaron 17 casos complementarios.</w:t>
            </w:r>
          </w:p>
        </w:tc>
      </w:tr>
      <w:tr w:rsidR="00A825C8" w:rsidRPr="006E3B0D" w14:paraId="491C785D" w14:textId="77777777" w:rsidTr="00EA0C09">
        <w:trPr>
          <w:trHeight w:val="2410"/>
        </w:trPr>
        <w:tc>
          <w:tcPr>
            <w:tcW w:w="1328" w:type="dxa"/>
          </w:tcPr>
          <w:p w14:paraId="78A29B89" w14:textId="77777777" w:rsidR="00A825C8" w:rsidRPr="00253A89" w:rsidRDefault="00A825C8"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Desarrollar el frontend para autenticación y navegación inicial.</w:t>
            </w:r>
          </w:p>
        </w:tc>
        <w:tc>
          <w:tcPr>
            <w:tcW w:w="1077" w:type="dxa"/>
          </w:tcPr>
          <w:p w14:paraId="1135D1E1"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Crear el proyecto React/Vite/Tailwind, pantalla de login, almacenamiento temporal del token, consulta de /auth/me, cierre de sesión y rutas protegidas.</w:t>
            </w:r>
          </w:p>
        </w:tc>
        <w:tc>
          <w:tcPr>
            <w:tcW w:w="1276" w:type="dxa"/>
          </w:tcPr>
          <w:p w14:paraId="58C168FF"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React, Vite, Tailwind, Axios, React Router, Docker, guía Guia_Frontend_Login_E1_2026-10-03.md.</w:t>
            </w:r>
          </w:p>
        </w:tc>
        <w:tc>
          <w:tcPr>
            <w:tcW w:w="1276" w:type="dxa"/>
          </w:tcPr>
          <w:p w14:paraId="0EE5EAB0" w14:textId="77777777" w:rsidR="00A825C8"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2 semanas</w:t>
            </w:r>
          </w:p>
        </w:tc>
        <w:tc>
          <w:tcPr>
            <w:tcW w:w="1275" w:type="dxa"/>
          </w:tcPr>
          <w:p w14:paraId="25691291" w14:textId="77777777" w:rsidR="00A825C8"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Angelo Galindo.</w:t>
            </w:r>
          </w:p>
        </w:tc>
        <w:tc>
          <w:tcPr>
            <w:tcW w:w="1276" w:type="dxa"/>
          </w:tcPr>
          <w:p w14:paraId="4AFA1A18"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El frontend se comunica con la API en http://localhost:8000 desde el navegador; nunca accede directamente a la base de datos.</w:t>
            </w:r>
          </w:p>
        </w:tc>
        <w:tc>
          <w:tcPr>
            <w:tcW w:w="1418" w:type="dxa"/>
          </w:tcPr>
          <w:p w14:paraId="77C7E741" w14:textId="77777777" w:rsidR="00A825C8" w:rsidRPr="00253A89" w:rsidRDefault="00A825C8"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Completada para E1: inicio de sesión, sesión persistente, rutas protegidas y cierre de sesión.</w:t>
            </w:r>
          </w:p>
        </w:tc>
        <w:tc>
          <w:tcPr>
            <w:tcW w:w="850" w:type="dxa"/>
          </w:tcPr>
          <w:p w14:paraId="4AFF8EF7"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 documentó el frontend como actividad completa.</w:t>
            </w:r>
          </w:p>
        </w:tc>
      </w:tr>
      <w:tr w:rsidR="00A825C8" w:rsidRPr="006E3B0D" w14:paraId="635A9164" w14:textId="77777777" w:rsidTr="00EA0C09">
        <w:trPr>
          <w:trHeight w:val="2410"/>
        </w:trPr>
        <w:tc>
          <w:tcPr>
            <w:tcW w:w="1328" w:type="dxa"/>
          </w:tcPr>
          <w:p w14:paraId="6442716F" w14:textId="77777777" w:rsidR="00A825C8" w:rsidRPr="00253A89" w:rsidRDefault="00A825C8"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Implementar módulos de negocio sobre una base de datos relacional.</w:t>
            </w:r>
          </w:p>
        </w:tc>
        <w:tc>
          <w:tcPr>
            <w:tcW w:w="1077" w:type="dxa"/>
          </w:tcPr>
          <w:p w14:paraId="64068D82"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E2 Maestros core: mantenedores de productores (con validación de RUT) y de los catálogos de especies, variedades, calidades, tipos de bandeja, sistemas productivos y embalajes. Incluye la tabla de </w:t>
            </w:r>
            <w:r>
              <w:rPr>
                <w:rFonts w:ascii="Calibri" w:hAnsi="Calibri" w:cs="Arial"/>
                <w:i/>
                <w:color w:val="548DD4"/>
                <w:sz w:val="18"/>
                <w:szCs w:val="20"/>
                <w:lang w:eastAsia="es-CL"/>
              </w:rPr>
              <w:lastRenderedPageBreak/>
              <w:t>auditoría (HU21).</w:t>
            </w:r>
          </w:p>
        </w:tc>
        <w:tc>
          <w:tcPr>
            <w:tcW w:w="1276" w:type="dxa"/>
          </w:tcPr>
          <w:p w14:paraId="6A6F9A6D" w14:textId="77777777" w:rsidR="00A825C8" w:rsidRPr="00253A89" w:rsidRDefault="00A825C8" w:rsidP="00FD5149">
            <w:pPr>
              <w:jc w:val="both"/>
              <w:rPr>
                <w:rFonts w:ascii="Calibri" w:hAnsi="Calibri" w:cs="Arial"/>
                <w:i/>
                <w:color w:val="548DD4"/>
                <w:sz w:val="18"/>
                <w:szCs w:val="20"/>
                <w:lang w:eastAsia="es-CL"/>
              </w:rPr>
            </w:pPr>
            <w:r w:rsidRPr="00E61927">
              <w:rPr>
                <w:rFonts w:ascii="Calibri" w:hAnsi="Calibri" w:cs="Arial"/>
                <w:i/>
                <w:color w:val="548DD4"/>
                <w:sz w:val="18"/>
                <w:szCs w:val="20"/>
                <w:lang w:val="en-US" w:eastAsia="es-CL"/>
              </w:rPr>
              <w:lastRenderedPageBreak/>
              <w:t xml:space="preserve">FastAPI, SQLAlchemy, Alembic, SQL Server, React. </w:t>
            </w:r>
            <w:r>
              <w:rPr>
                <w:rFonts w:ascii="Calibri" w:hAnsi="Calibri" w:cs="Arial"/>
                <w:i/>
                <w:color w:val="548DD4"/>
                <w:sz w:val="18"/>
                <w:szCs w:val="20"/>
                <w:lang w:eastAsia="es-CL"/>
              </w:rPr>
              <w:t>Historias HU07–HU11 y HU21.</w:t>
            </w:r>
          </w:p>
        </w:tc>
        <w:tc>
          <w:tcPr>
            <w:tcW w:w="1276" w:type="dxa"/>
          </w:tcPr>
          <w:p w14:paraId="56843E82" w14:textId="443AF78F" w:rsidR="00A825C8"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Semanas S9 y S10 de la Carta Gantt (19/10 al 01/11).</w:t>
            </w:r>
          </w:p>
        </w:tc>
        <w:tc>
          <w:tcPr>
            <w:tcW w:w="1275" w:type="dxa"/>
          </w:tcPr>
          <w:p w14:paraId="2A5EE52F" w14:textId="77777777" w:rsidR="00A825C8"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Por asignar.</w:t>
            </w:r>
          </w:p>
        </w:tc>
        <w:tc>
          <w:tcPr>
            <w:tcW w:w="1276" w:type="dxa"/>
          </w:tcPr>
          <w:p w14:paraId="158AFB64"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Base para registrar tarjas. Los catálogos se desactivan, no se borran.</w:t>
            </w:r>
          </w:p>
        </w:tc>
        <w:tc>
          <w:tcPr>
            <w:tcW w:w="1418" w:type="dxa"/>
          </w:tcPr>
          <w:p w14:paraId="0FDAF177" w14:textId="33552385" w:rsidR="00A825C8" w:rsidRPr="00253A89" w:rsidRDefault="00A825C8"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No iniciada. Planificada para las semanas S9 y S10; comienza el 19/10.</w:t>
            </w:r>
          </w:p>
        </w:tc>
        <w:tc>
          <w:tcPr>
            <w:tcW w:w="850" w:type="dxa"/>
          </w:tcPr>
          <w:p w14:paraId="5D6E164E"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 agregaron sistemas productivos y embalajes.</w:t>
            </w:r>
          </w:p>
        </w:tc>
      </w:tr>
      <w:tr w:rsidR="00A825C8" w:rsidRPr="006E3B0D" w14:paraId="3AB977DD" w14:textId="77777777" w:rsidTr="00EA0C09">
        <w:trPr>
          <w:trHeight w:val="2410"/>
        </w:trPr>
        <w:tc>
          <w:tcPr>
            <w:tcW w:w="1328" w:type="dxa"/>
          </w:tcPr>
          <w:p w14:paraId="2488881D" w14:textId="77777777" w:rsidR="00A825C8" w:rsidRPr="00253A89" w:rsidRDefault="00A825C8"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Implementar módulos de negocio sobre una base de datos relacional.</w:t>
            </w:r>
          </w:p>
        </w:tc>
        <w:tc>
          <w:tcPr>
            <w:tcW w:w="1077" w:type="dxa"/>
          </w:tcPr>
          <w:p w14:paraId="24DA91C2"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E3 Recepción de tarjas: registro de la tarja de recepción con numeración automática, cálculo de kilos netos (peso de balanza − bandejas × tara − pallet), entrada de bandejas por productor, impresión, consulta y anulación.</w:t>
            </w:r>
          </w:p>
        </w:tc>
        <w:tc>
          <w:tcPr>
            <w:tcW w:w="1276" w:type="dxa"/>
          </w:tcPr>
          <w:p w14:paraId="7016956B" w14:textId="77777777" w:rsidR="00A825C8" w:rsidRPr="00253A89" w:rsidRDefault="00A825C8" w:rsidP="00FD5149">
            <w:pPr>
              <w:jc w:val="both"/>
              <w:rPr>
                <w:rFonts w:ascii="Calibri" w:hAnsi="Calibri" w:cs="Arial"/>
                <w:i/>
                <w:color w:val="548DD4"/>
                <w:sz w:val="18"/>
                <w:szCs w:val="20"/>
                <w:lang w:eastAsia="es-CL"/>
              </w:rPr>
            </w:pPr>
            <w:r w:rsidRPr="00E61927">
              <w:rPr>
                <w:rFonts w:ascii="Calibri" w:hAnsi="Calibri" w:cs="Arial"/>
                <w:i/>
                <w:color w:val="548DD4"/>
                <w:sz w:val="18"/>
                <w:szCs w:val="20"/>
                <w:lang w:val="en-US" w:eastAsia="es-CL"/>
              </w:rPr>
              <w:t xml:space="preserve">FastAPI, SQLAlchemy, Alembic, SQL Server, React. </w:t>
            </w:r>
            <w:r>
              <w:rPr>
                <w:rFonts w:ascii="Calibri" w:hAnsi="Calibri" w:cs="Arial"/>
                <w:i/>
                <w:color w:val="548DD4"/>
                <w:sz w:val="18"/>
                <w:szCs w:val="20"/>
                <w:lang w:eastAsia="es-CL"/>
              </w:rPr>
              <w:t>Historias HU12–HU17 y HU24.</w:t>
            </w:r>
          </w:p>
        </w:tc>
        <w:tc>
          <w:tcPr>
            <w:tcW w:w="1276" w:type="dxa"/>
          </w:tcPr>
          <w:p w14:paraId="2D6F10D3" w14:textId="183EACEC" w:rsidR="00A825C8"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Semanas S11 y S12 de la Carta Gantt (02/11 al 15/11).</w:t>
            </w:r>
          </w:p>
        </w:tc>
        <w:tc>
          <w:tcPr>
            <w:tcW w:w="1275" w:type="dxa"/>
          </w:tcPr>
          <w:p w14:paraId="18E5384F" w14:textId="77777777" w:rsidR="00A825C8"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Por asignar.</w:t>
            </w:r>
          </w:p>
        </w:tc>
        <w:tc>
          <w:tcPr>
            <w:tcW w:w="1276" w:type="dxa"/>
          </w:tcPr>
          <w:p w14:paraId="2CADF762"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Depende de E2. La tarja es el registro de recepción.</w:t>
            </w:r>
          </w:p>
        </w:tc>
        <w:tc>
          <w:tcPr>
            <w:tcW w:w="1418" w:type="dxa"/>
          </w:tcPr>
          <w:p w14:paraId="28F8256C" w14:textId="65A39682" w:rsidR="00A825C8" w:rsidRPr="00253A89" w:rsidRDefault="00A825C8"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No iniciada. Planificada para las semanas S11 y S12.</w:t>
            </w:r>
          </w:p>
        </w:tc>
        <w:tc>
          <w:tcPr>
            <w:tcW w:w="850" w:type="dxa"/>
          </w:tcPr>
          <w:p w14:paraId="52C06A43"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La guía y la devolución de bandejas quedan fuera del PMV.</w:t>
            </w:r>
          </w:p>
        </w:tc>
      </w:tr>
      <w:tr w:rsidR="00A825C8" w:rsidRPr="006E3B0D" w14:paraId="40CC19B1" w14:textId="77777777" w:rsidTr="00EA0C09">
        <w:trPr>
          <w:trHeight w:val="2410"/>
        </w:trPr>
        <w:tc>
          <w:tcPr>
            <w:tcW w:w="1328" w:type="dxa"/>
          </w:tcPr>
          <w:p w14:paraId="783825DC" w14:textId="77777777" w:rsidR="00A825C8" w:rsidRPr="00253A89" w:rsidRDefault="00A825C8"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Implementar módulos de negocio sobre una base de datos relacional.</w:t>
            </w:r>
          </w:p>
        </w:tc>
        <w:tc>
          <w:tcPr>
            <w:tcW w:w="1077" w:type="dxa"/>
          </w:tcPr>
          <w:p w14:paraId="1D115B31"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E4 Procesamiento y auditoría: proceso con folio, embalaje y cajas; consumo parcial de tarjas; cálculo de rendimiento y merma; edición de tarjas con auditoría; anulación de procesos; bitácora y </w:t>
            </w:r>
            <w:r>
              <w:rPr>
                <w:rFonts w:ascii="Calibri" w:hAnsi="Calibri" w:cs="Arial"/>
                <w:i/>
                <w:color w:val="548DD4"/>
                <w:sz w:val="18"/>
                <w:szCs w:val="20"/>
                <w:lang w:eastAsia="es-CL"/>
              </w:rPr>
              <w:lastRenderedPageBreak/>
              <w:t>trazabilidad.</w:t>
            </w:r>
          </w:p>
        </w:tc>
        <w:tc>
          <w:tcPr>
            <w:tcW w:w="1276" w:type="dxa"/>
          </w:tcPr>
          <w:p w14:paraId="3DE41A6D" w14:textId="77777777" w:rsidR="00A825C8" w:rsidRPr="00253A89" w:rsidRDefault="00A825C8" w:rsidP="00FD5149">
            <w:pPr>
              <w:jc w:val="both"/>
              <w:rPr>
                <w:rFonts w:ascii="Calibri" w:hAnsi="Calibri" w:cs="Arial"/>
                <w:i/>
                <w:color w:val="548DD4"/>
                <w:sz w:val="18"/>
                <w:szCs w:val="20"/>
                <w:lang w:eastAsia="es-CL"/>
              </w:rPr>
            </w:pPr>
            <w:r w:rsidRPr="00E61927">
              <w:rPr>
                <w:rFonts w:ascii="Calibri" w:hAnsi="Calibri" w:cs="Arial"/>
                <w:i/>
                <w:color w:val="548DD4"/>
                <w:sz w:val="18"/>
                <w:szCs w:val="20"/>
                <w:lang w:val="en-US" w:eastAsia="es-CL"/>
              </w:rPr>
              <w:lastRenderedPageBreak/>
              <w:t xml:space="preserve">FastAPI, SQLAlchemy, Alembic, SQL Server, React. </w:t>
            </w:r>
            <w:r>
              <w:rPr>
                <w:rFonts w:ascii="Calibri" w:hAnsi="Calibri" w:cs="Arial"/>
                <w:i/>
                <w:color w:val="548DD4"/>
                <w:sz w:val="18"/>
                <w:szCs w:val="20"/>
                <w:lang w:eastAsia="es-CL"/>
              </w:rPr>
              <w:t>Historias HU18–HU23 y HU25.</w:t>
            </w:r>
          </w:p>
        </w:tc>
        <w:tc>
          <w:tcPr>
            <w:tcW w:w="1276" w:type="dxa"/>
          </w:tcPr>
          <w:p w14:paraId="72D6A734" w14:textId="40CADE1C" w:rsidR="00A825C8"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Semanas S13 y S14 de la Carta Gantt (16/11 al 29/11).</w:t>
            </w:r>
          </w:p>
        </w:tc>
        <w:tc>
          <w:tcPr>
            <w:tcW w:w="1275" w:type="dxa"/>
          </w:tcPr>
          <w:p w14:paraId="2FD96D67" w14:textId="77777777" w:rsidR="00A825C8"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Por asignar.</w:t>
            </w:r>
          </w:p>
        </w:tc>
        <w:tc>
          <w:tcPr>
            <w:tcW w:w="1276" w:type="dxa"/>
          </w:tcPr>
          <w:p w14:paraId="4346D778"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Depende de E3.</w:t>
            </w:r>
          </w:p>
        </w:tc>
        <w:tc>
          <w:tcPr>
            <w:tcW w:w="1418" w:type="dxa"/>
          </w:tcPr>
          <w:p w14:paraId="0FC4E246" w14:textId="394A45FC" w:rsidR="00A825C8" w:rsidRPr="00253A89" w:rsidRDefault="00A825C8" w:rsidP="00FD5149">
            <w:pPr>
              <w:jc w:val="both"/>
              <w:rPr>
                <w:rFonts w:ascii="Calibri" w:hAnsi="Calibri" w:cs="Arial"/>
                <w:b/>
                <w:bCs/>
                <w:i/>
                <w:color w:val="548DD4"/>
                <w:sz w:val="18"/>
                <w:szCs w:val="20"/>
                <w:lang w:eastAsia="es-CL"/>
              </w:rPr>
            </w:pPr>
            <w:r>
              <w:rPr>
                <w:rFonts w:ascii="Calibri" w:hAnsi="Calibri" w:cs="Arial"/>
                <w:b/>
                <w:bCs/>
                <w:i/>
                <w:color w:val="548DD4"/>
                <w:sz w:val="18"/>
                <w:szCs w:val="20"/>
                <w:lang w:eastAsia="es-CL"/>
              </w:rPr>
              <w:t>No iniciada. Planificada para las semanas S13 y S14.</w:t>
            </w:r>
          </w:p>
        </w:tc>
        <w:tc>
          <w:tcPr>
            <w:tcW w:w="850" w:type="dxa"/>
          </w:tcPr>
          <w:p w14:paraId="0F295C71" w14:textId="77777777" w:rsidR="00A825C8" w:rsidRPr="00253A89" w:rsidRDefault="00A825C8" w:rsidP="00FD5149">
            <w:pPr>
              <w:jc w:val="both"/>
              <w:rPr>
                <w:rFonts w:ascii="Calibri" w:hAnsi="Calibri" w:cs="Arial"/>
                <w:i/>
                <w:color w:val="548DD4"/>
                <w:sz w:val="18"/>
                <w:szCs w:val="20"/>
                <w:lang w:eastAsia="es-CL"/>
              </w:rPr>
            </w:pPr>
            <w:r>
              <w:rPr>
                <w:rFonts w:ascii="Calibri" w:hAnsi="Calibri" w:cs="Arial"/>
                <w:i/>
                <w:color w:val="548DD4"/>
                <w:sz w:val="18"/>
                <w:szCs w:val="20"/>
                <w:lang w:eastAsia="es-CL"/>
              </w:rPr>
              <w:t>Se incorporó el consumo parcial de tarjas.</w:t>
            </w:r>
          </w:p>
        </w:tc>
      </w:tr>
    </w:tbl>
    <w:p w14:paraId="71026F71"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3E32AA99" w14:textId="77777777" w:rsidTr="00C5122E">
        <w:trPr>
          <w:trHeight w:val="440"/>
        </w:trPr>
        <w:tc>
          <w:tcPr>
            <w:tcW w:w="9498" w:type="dxa"/>
            <w:vAlign w:val="center"/>
          </w:tcPr>
          <w:p w14:paraId="057A419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5BC450D3" w14:textId="77777777" w:rsidTr="00C5122E">
        <w:trPr>
          <w:trHeight w:val="800"/>
        </w:trPr>
        <w:tc>
          <w:tcPr>
            <w:tcW w:w="9498" w:type="dxa"/>
            <w:shd w:val="clear" w:color="auto" w:fill="D9E2F3" w:themeFill="accent1" w:themeFillTint="33"/>
            <w:vAlign w:val="center"/>
          </w:tcPr>
          <w:p w14:paraId="38C795A3" w14:textId="77777777"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155D9AD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097FBD96" w14:textId="77777777" w:rsidTr="00C5122E">
        <w:trPr>
          <w:trHeight w:val="1936"/>
        </w:trPr>
        <w:tc>
          <w:tcPr>
            <w:tcW w:w="5000" w:type="pct"/>
            <w:vAlign w:val="center"/>
          </w:tcPr>
          <w:p w14:paraId="430A5BC3"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facilitado y/o dificultado el desarrollo de mi plan de trabajo</w:t>
            </w:r>
            <w:r>
              <w:rPr>
                <w:rFonts w:ascii="Calibri" w:hAnsi="Calibri" w:cs="Arial"/>
                <w:color w:val="548DD4"/>
                <w:sz w:val="20"/>
                <w:szCs w:val="20"/>
                <w:lang w:eastAsia="es-CL"/>
              </w:rPr>
              <w:t xml:space="preserve">: </w:t>
            </w:r>
          </w:p>
          <w:p w14:paraId="7F6F1503" w14:textId="77777777" w:rsidR="00A825C8" w:rsidRPr="00694AF3" w:rsidRDefault="00A825C8" w:rsidP="00C5122E">
            <w:pPr>
              <w:rPr>
                <w:rFonts w:ascii="Calibri" w:hAnsi="Calibri"/>
                <w:color w:val="0070C0"/>
              </w:rPr>
            </w:pPr>
            <w:r>
              <w:rPr>
                <w:rFonts w:ascii="Calibri" w:hAnsi="Calibri"/>
                <w:b/>
                <w:color w:val="0070C0"/>
              </w:rPr>
              <w:t xml:space="preserve">Facilitaron: </w:t>
            </w:r>
            <w:r>
              <w:rPr>
                <w:rFonts w:ascii="Calibri" w:hAnsi="Calibri"/>
                <w:color w:val="0070C0"/>
              </w:rPr>
              <w:t>el uso de Docker, que dio un entorno idéntico para los tres integrantes sin instalar Python ni drivers en cada equipo; la metodología ágil con sprints semanales, que permitió avanzar de forma autónoma; y las guías paso a paso y los documentos de avances, que dejaron registro de cada decisión y comando.</w:t>
            </w:r>
          </w:p>
          <w:p w14:paraId="638617BD" w14:textId="77777777" w:rsidR="00A825C8" w:rsidRPr="00694AF3" w:rsidRDefault="00A825C8" w:rsidP="00C5122E">
            <w:pPr>
              <w:rPr>
                <w:rFonts w:ascii="Calibri" w:hAnsi="Calibri"/>
                <w:color w:val="0070C0"/>
              </w:rPr>
            </w:pPr>
            <w:r>
              <w:rPr>
                <w:rFonts w:ascii="Calibri" w:hAnsi="Calibri"/>
                <w:b/>
                <w:color w:val="0070C0"/>
              </w:rPr>
              <w:t xml:space="preserve">Dificultaron: </w:t>
            </w:r>
            <w:r>
              <w:rPr>
                <w:rFonts w:ascii="Calibri" w:hAnsi="Calibri"/>
                <w:color w:val="0070C0"/>
              </w:rPr>
              <w:t>coordinar horarios para resolver dudas o retomar tareas postergadas; los errores iniciales del código, que impedían que el backend arrancara; los cambios de alcance y de nombres de roles durante el desarrollo, que obligaron a actualizar código, base de datos y documentos; y las reglas de negocio del sistema legado, que no estaban documentadas y hubo que obtener de su código fuente.</w:t>
            </w:r>
          </w:p>
          <w:p w14:paraId="2A498D0C" w14:textId="77777777" w:rsidR="00A825C8" w:rsidRPr="00694AF3" w:rsidRDefault="00A825C8" w:rsidP="00C5122E">
            <w:pPr>
              <w:rPr>
                <w:rFonts w:ascii="Calibri" w:hAnsi="Calibri"/>
                <w:color w:val="0070C0"/>
              </w:rPr>
            </w:pPr>
            <w:r>
              <w:rPr>
                <w:rFonts w:ascii="Calibri" w:hAnsi="Calibri"/>
                <w:b/>
                <w:color w:val="0070C0"/>
              </w:rPr>
              <w:t xml:space="preserve">Cómo se abordaron: </w:t>
            </w:r>
            <w:r>
              <w:rPr>
                <w:rFonts w:ascii="Calibri" w:hAnsi="Calibri"/>
                <w:color w:val="0070C0"/>
              </w:rPr>
              <w:t>se registraron las decisiones con su fecha y motivo en el repositorio de avances; cada cambio de base de datos se hizo con una migración nueva en lugar de editar las existentes; cada etapa se cerró con un acta de pruebas; y el diseño de E2 a E4 se ajustó antes de implementarlo, tras revisar el código del sistema legado.</w:t>
            </w:r>
          </w:p>
          <w:p w14:paraId="62B4C19A" w14:textId="77777777" w:rsidR="0003309E" w:rsidRPr="00CD38BD" w:rsidRDefault="0003309E" w:rsidP="00C5122E">
            <w:pPr>
              <w:rPr>
                <w:rFonts w:ascii="Calibri" w:hAnsi="Calibri"/>
                <w:color w:val="1F3864" w:themeColor="accent1" w:themeShade="80"/>
              </w:rPr>
            </w:pPr>
          </w:p>
          <w:p w14:paraId="4B740C48" w14:textId="77777777" w:rsidR="0003309E" w:rsidRDefault="0003309E" w:rsidP="00C5122E">
            <w:pPr>
              <w:jc w:val="both"/>
              <w:rPr>
                <w:rFonts w:ascii="Calibri" w:hAnsi="Calibri" w:cs="Arial"/>
                <w:i/>
                <w:color w:val="548DD4"/>
                <w:sz w:val="20"/>
                <w:szCs w:val="20"/>
                <w:lang w:eastAsia="es-CL"/>
              </w:rPr>
            </w:pPr>
          </w:p>
          <w:p w14:paraId="3E08101B" w14:textId="77777777" w:rsidR="0003309E" w:rsidRDefault="0003309E" w:rsidP="00C5122E">
            <w:pPr>
              <w:jc w:val="both"/>
              <w:rPr>
                <w:rFonts w:ascii="Calibri" w:hAnsi="Calibri" w:cs="Arial"/>
                <w:i/>
                <w:color w:val="548DD4"/>
                <w:sz w:val="20"/>
                <w:szCs w:val="20"/>
                <w:lang w:eastAsia="es-CL"/>
              </w:rPr>
            </w:pPr>
          </w:p>
          <w:p w14:paraId="565EAF81" w14:textId="77777777" w:rsidR="0003309E" w:rsidRPr="00711C16" w:rsidRDefault="0003309E" w:rsidP="00C5122E">
            <w:pPr>
              <w:jc w:val="both"/>
              <w:rPr>
                <w:rFonts w:ascii="Calibri" w:hAnsi="Calibri" w:cs="Arial"/>
                <w:i/>
                <w:color w:val="548DD4"/>
                <w:sz w:val="20"/>
                <w:szCs w:val="20"/>
                <w:lang w:eastAsia="es-CL"/>
              </w:rPr>
            </w:pPr>
          </w:p>
        </w:tc>
      </w:tr>
    </w:tbl>
    <w:p w14:paraId="0498CF2E"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1D8D4DE0" w14:textId="77777777" w:rsidTr="00C5122E">
        <w:trPr>
          <w:trHeight w:val="1936"/>
        </w:trPr>
        <w:tc>
          <w:tcPr>
            <w:tcW w:w="5000" w:type="pct"/>
            <w:vAlign w:val="center"/>
          </w:tcPr>
          <w:p w14:paraId="7550C736" w14:textId="77777777" w:rsidR="00255AC5"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t>Actividades ajustadas o eliminadas:</w:t>
            </w:r>
          </w:p>
          <w:p w14:paraId="36F768F7" w14:textId="77777777" w:rsidR="00255AC5" w:rsidRPr="00255AC5" w:rsidRDefault="00255AC5" w:rsidP="00255AC5">
            <w:pPr>
              <w:numPr>
                <w:ilvl w:val="0"/>
                <w:numId w:val="4"/>
              </w:numPr>
              <w:jc w:val="both"/>
              <w:rPr>
                <w:rFonts w:ascii="Calibri" w:hAnsi="Calibri" w:cs="Arial"/>
                <w:i/>
                <w:color w:val="548DD4"/>
                <w:sz w:val="20"/>
                <w:szCs w:val="20"/>
                <w:lang w:val="es-419" w:eastAsia="es-CL"/>
              </w:rPr>
            </w:pPr>
            <w:r>
              <w:rPr>
                <w:rFonts w:ascii="Calibri" w:hAnsi="Calibri" w:cs="Arial"/>
                <w:i/>
                <w:color w:val="548DD4"/>
                <w:sz w:val="20"/>
                <w:szCs w:val="20"/>
                <w:lang w:val="es-419" w:eastAsia="es-CL"/>
              </w:rPr>
              <w:t>Se eliminaron del alcance los módulos de bodega, despacho y reportes de gestión, para cumplir con las cuatro épicas en el periodo académico.</w:t>
            </w:r>
          </w:p>
          <w:p w14:paraId="4C82996E" w14:textId="77777777" w:rsidR="00255AC5" w:rsidRPr="00255AC5" w:rsidRDefault="00255AC5" w:rsidP="00255AC5">
            <w:pPr>
              <w:numPr>
                <w:ilvl w:val="0"/>
                <w:numId w:val="4"/>
              </w:numPr>
              <w:jc w:val="both"/>
              <w:rPr>
                <w:rFonts w:ascii="Calibri" w:hAnsi="Calibri" w:cs="Arial"/>
                <w:i/>
                <w:color w:val="548DD4"/>
                <w:sz w:val="20"/>
                <w:szCs w:val="20"/>
                <w:lang w:val="es-419" w:eastAsia="es-CL"/>
              </w:rPr>
            </w:pPr>
            <w:r>
              <w:rPr>
                <w:rFonts w:ascii="Calibri" w:hAnsi="Calibri" w:cs="Arial"/>
                <w:i/>
                <w:color w:val="548DD4"/>
                <w:sz w:val="20"/>
                <w:szCs w:val="20"/>
                <w:lang w:val="es-419" w:eastAsia="es-CL"/>
              </w:rPr>
              <w:lastRenderedPageBreak/>
              <w:t>Se definieron cuatro roles del sistema en lugar de "Operador y Administrador". Se descartaron los roles futuros "Productor externo" y "Cliente", porque un administrador podría asignarlos sin que existieran permisos para ellos. Se agregarán con una migración cuando se necesiten.</w:t>
            </w:r>
          </w:p>
          <w:p w14:paraId="4944F8A9" w14:textId="77777777" w:rsidR="00255AC5" w:rsidRPr="00255AC5" w:rsidRDefault="00255AC5" w:rsidP="00255AC5">
            <w:pPr>
              <w:numPr>
                <w:ilvl w:val="0"/>
                <w:numId w:val="4"/>
              </w:numPr>
              <w:jc w:val="both"/>
              <w:rPr>
                <w:rFonts w:ascii="Calibri" w:hAnsi="Calibri" w:cs="Arial"/>
                <w:i/>
                <w:color w:val="548DD4"/>
                <w:sz w:val="20"/>
                <w:szCs w:val="20"/>
                <w:lang w:val="es-419" w:eastAsia="es-CL"/>
              </w:rPr>
            </w:pPr>
            <w:r>
              <w:rPr>
                <w:rFonts w:ascii="Calibri" w:hAnsi="Calibri" w:cs="Arial"/>
                <w:i/>
                <w:color w:val="548DD4"/>
                <w:sz w:val="20"/>
                <w:szCs w:val="20"/>
                <w:lang w:val="es-419" w:eastAsia="es-CL"/>
              </w:rPr>
              <w:t>Se rediseñó el modelo de datos de E2 a E4 a partir del código del sistema legado (2026-10-04): la tarja pasa a ser el registro de recepción; los kilos netos descuentan bandejas y pallet, como en el legado; una tarja puede procesarse en partes; el proceso lleva folio, embalaje y cajas; y se agregan los catálogos de sistemas productivos y embalajes.</w:t>
            </w:r>
          </w:p>
          <w:p w14:paraId="76045437" w14:textId="77777777" w:rsidR="00255AC5" w:rsidRPr="00255AC5" w:rsidRDefault="00255AC5" w:rsidP="00255AC5">
            <w:pPr>
              <w:numPr>
                <w:ilvl w:val="0"/>
                <w:numId w:val="4"/>
              </w:numPr>
              <w:jc w:val="both"/>
              <w:rPr>
                <w:rFonts w:ascii="Calibri" w:hAnsi="Calibri" w:cs="Arial"/>
                <w:i/>
                <w:color w:val="548DD4"/>
                <w:sz w:val="20"/>
                <w:szCs w:val="20"/>
                <w:lang w:val="es-419" w:eastAsia="es-CL"/>
              </w:rPr>
            </w:pPr>
            <w:r>
              <w:rPr>
                <w:rFonts w:ascii="Calibri" w:hAnsi="Calibri" w:cs="Arial"/>
                <w:i/>
                <w:color w:val="548DD4"/>
                <w:sz w:val="20"/>
                <w:szCs w:val="20"/>
                <w:lang w:val="es-419" w:eastAsia="es-CL"/>
              </w:rPr>
              <w:t>La guía de recepción que agrupa tarjas, con la devolución de bandejas al productor, y la migración de datos del sistema legado quedan fuera del PMV, como trabajo posterior.</w:t>
            </w:r>
          </w:p>
          <w:p w14:paraId="1F1FC69B" w14:textId="77777777" w:rsidR="00255AC5" w:rsidRPr="00255AC5" w:rsidRDefault="00255AC5" w:rsidP="00255AC5">
            <w:pPr>
              <w:numPr>
                <w:ilvl w:val="0"/>
                <w:numId w:val="4"/>
              </w:numPr>
              <w:jc w:val="both"/>
              <w:rPr>
                <w:rFonts w:ascii="Calibri" w:hAnsi="Calibri" w:cs="Arial"/>
                <w:i/>
                <w:color w:val="548DD4"/>
                <w:sz w:val="20"/>
                <w:szCs w:val="20"/>
                <w:lang w:val="es-419" w:eastAsia="es-CL"/>
              </w:rPr>
            </w:pPr>
            <w:r>
              <w:rPr>
                <w:rFonts w:ascii="Calibri" w:hAnsi="Calibri" w:cs="Arial"/>
                <w:i/>
                <w:color w:val="548DD4"/>
                <w:sz w:val="20"/>
                <w:szCs w:val="20"/>
                <w:lang w:val="es-419" w:eastAsia="es-CL"/>
              </w:rPr>
              <w:t>Se agregaron la anulación de tarjas de recepción y de procesos (HU24 y HU25), solo para el administrador y sin borrar registros, en reemplazo del borrado físico del legado. Sus Story Points están por estimar.</w:t>
            </w:r>
          </w:p>
          <w:p w14:paraId="21610E44" w14:textId="77777777" w:rsidR="0003309E" w:rsidRDefault="0003309E" w:rsidP="00C5122E">
            <w:pPr>
              <w:jc w:val="both"/>
              <w:rPr>
                <w:rFonts w:ascii="Calibri" w:hAnsi="Calibri" w:cs="Arial"/>
                <w:i/>
                <w:color w:val="548DD4"/>
                <w:sz w:val="20"/>
                <w:szCs w:val="20"/>
                <w:lang w:eastAsia="es-CL"/>
              </w:rPr>
            </w:pPr>
          </w:p>
          <w:p w14:paraId="236D0352" w14:textId="77777777" w:rsidR="00FD5149" w:rsidRPr="00CD38BD" w:rsidRDefault="00FD5149" w:rsidP="00C5122E">
            <w:pPr>
              <w:jc w:val="both"/>
              <w:rPr>
                <w:rFonts w:ascii="Calibri" w:hAnsi="Calibri" w:cs="Arial"/>
                <w:i/>
                <w:color w:val="548DD4"/>
                <w:sz w:val="20"/>
                <w:szCs w:val="20"/>
                <w:lang w:eastAsia="es-CL"/>
              </w:rPr>
            </w:pPr>
          </w:p>
          <w:p w14:paraId="2825389B" w14:textId="77777777" w:rsidR="0003309E" w:rsidRDefault="0003309E" w:rsidP="00C5122E">
            <w:pPr>
              <w:jc w:val="both"/>
              <w:rPr>
                <w:rFonts w:ascii="Calibri" w:hAnsi="Calibri" w:cs="Arial"/>
                <w:i/>
                <w:color w:val="C00000"/>
                <w:sz w:val="20"/>
                <w:szCs w:val="20"/>
                <w:lang w:eastAsia="es-CL"/>
              </w:rPr>
            </w:pPr>
          </w:p>
          <w:p w14:paraId="36F967A7" w14:textId="77777777" w:rsidR="0003309E" w:rsidRDefault="0003309E" w:rsidP="00C5122E">
            <w:pPr>
              <w:jc w:val="both"/>
              <w:rPr>
                <w:rFonts w:ascii="Calibri" w:hAnsi="Calibri" w:cs="Arial"/>
                <w:i/>
                <w:color w:val="548DD4"/>
                <w:sz w:val="20"/>
                <w:szCs w:val="20"/>
                <w:lang w:eastAsia="es-CL"/>
              </w:rPr>
            </w:pPr>
          </w:p>
          <w:p w14:paraId="190A473D" w14:textId="77777777" w:rsidR="0003309E" w:rsidRDefault="0003309E" w:rsidP="00C5122E">
            <w:pPr>
              <w:jc w:val="both"/>
              <w:rPr>
                <w:rFonts w:ascii="Calibri" w:hAnsi="Calibri" w:cs="Arial"/>
                <w:i/>
                <w:color w:val="548DD4"/>
                <w:sz w:val="20"/>
                <w:szCs w:val="20"/>
                <w:lang w:eastAsia="es-CL"/>
              </w:rPr>
            </w:pPr>
          </w:p>
          <w:p w14:paraId="3A5BB345" w14:textId="77777777" w:rsidR="0003309E" w:rsidRDefault="0003309E" w:rsidP="00C5122E">
            <w:pPr>
              <w:jc w:val="both"/>
              <w:rPr>
                <w:rFonts w:ascii="Calibri" w:hAnsi="Calibri" w:cs="Arial"/>
                <w:i/>
                <w:color w:val="548DD4"/>
                <w:sz w:val="20"/>
                <w:szCs w:val="20"/>
                <w:lang w:eastAsia="es-CL"/>
              </w:rPr>
            </w:pPr>
          </w:p>
          <w:p w14:paraId="6AF93C2D" w14:textId="77777777" w:rsidR="00FD5149" w:rsidRDefault="00FD5149" w:rsidP="00C5122E">
            <w:pPr>
              <w:jc w:val="both"/>
              <w:rPr>
                <w:rFonts w:ascii="Calibri" w:hAnsi="Calibri" w:cs="Arial"/>
                <w:i/>
                <w:color w:val="548DD4"/>
                <w:sz w:val="20"/>
                <w:szCs w:val="20"/>
                <w:lang w:eastAsia="es-CL"/>
              </w:rPr>
            </w:pPr>
          </w:p>
          <w:p w14:paraId="76866994" w14:textId="77777777" w:rsidR="0003309E" w:rsidRPr="00711C16" w:rsidRDefault="0003309E" w:rsidP="00C5122E">
            <w:pPr>
              <w:jc w:val="both"/>
              <w:rPr>
                <w:rFonts w:ascii="Calibri" w:hAnsi="Calibri" w:cs="Arial"/>
                <w:i/>
                <w:color w:val="548DD4"/>
                <w:sz w:val="20"/>
                <w:szCs w:val="20"/>
                <w:lang w:eastAsia="es-CL"/>
              </w:rPr>
            </w:pPr>
          </w:p>
        </w:tc>
      </w:tr>
    </w:tbl>
    <w:p w14:paraId="50F14EA2" w14:textId="77777777" w:rsidR="0003309E" w:rsidRDefault="0003309E" w:rsidP="0003309E">
      <w:pPr>
        <w:spacing w:after="0" w:line="240" w:lineRule="auto"/>
        <w:jc w:val="both"/>
        <w:rPr>
          <w:rFonts w:ascii="Calibri" w:hAnsi="Calibri" w:cs="Arial"/>
          <w:i/>
          <w:color w:val="548DD4"/>
          <w:sz w:val="20"/>
          <w:szCs w:val="20"/>
          <w:lang w:eastAsia="es-CL"/>
        </w:rPr>
      </w:pPr>
    </w:p>
    <w:p w14:paraId="546288E6"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713F579" w14:textId="77777777" w:rsidTr="00C5122E">
        <w:trPr>
          <w:trHeight w:val="1966"/>
        </w:trPr>
        <w:tc>
          <w:tcPr>
            <w:tcW w:w="5000" w:type="pct"/>
            <w:vAlign w:val="center"/>
          </w:tcPr>
          <w:p w14:paraId="632AB68B" w14:textId="77777777"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78A9EE46" w14:textId="58C256D0"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No hay actividades retrasadas respecto de la Carta Gantt. La Épica 1 (autenticación, usuarios y control de acceso por rol) se desarrolló entre las semanas S4 y S6 y se cerró el 04/10, antes de lo planificado (S7–S8), en backend y frontend, con un criterio parcial: el menú con opciones por rol de HU01 y HU02, que se completa con las primeras pantallas de E2. Las semanas S7 y S8 se dedicaron a la documentación solicitada por el docente y a la corrección del diseño.</w:t>
            </w:r>
          </w:p>
          <w:p w14:paraId="2A26F655" w14:textId="6CC9BA58"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Las épicas E2 Maestros core, E3 Recepción de tarjas y E4 Procesamiento y auditoría aún no se inician porque corresponden a las semanas siguientes de la Carta Gantt: E2 en S9 y S10, E3 en S11 y S12, y E4 en S13 y S14.</w:t>
            </w:r>
          </w:p>
          <w:p w14:paraId="33C4DAF2" w14:textId="77777777" w:rsidR="0003309E" w:rsidRDefault="0003309E"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Para mantener el ritmo, en E2 a E4 se reutilizará la estructura validada en E1 (modelo y migración, schemas, servicio, router protegido por rol, pruebas y acta), y el diseño de sus tablas ya se ajustó antes de implementarlas.</w:t>
            </w:r>
          </w:p>
          <w:p w14:paraId="22103501" w14:textId="77777777" w:rsidR="00FD5149" w:rsidRDefault="00FD5149" w:rsidP="00585A13">
            <w:pPr>
              <w:jc w:val="both"/>
              <w:rPr>
                <w:rFonts w:ascii="Calibri" w:hAnsi="Calibri" w:cs="Arial"/>
                <w:i/>
                <w:color w:val="548DD4"/>
                <w:sz w:val="20"/>
                <w:szCs w:val="20"/>
                <w:lang w:eastAsia="es-CL"/>
              </w:rPr>
            </w:pPr>
          </w:p>
          <w:p w14:paraId="62CE3EF4" w14:textId="77777777" w:rsidR="00FD5149" w:rsidRPr="00CD38BD" w:rsidRDefault="00FD5149" w:rsidP="00585A13">
            <w:pPr>
              <w:jc w:val="both"/>
              <w:rPr>
                <w:rFonts w:ascii="Calibri" w:hAnsi="Calibri" w:cs="Arial"/>
                <w:i/>
                <w:color w:val="548DD4"/>
                <w:sz w:val="20"/>
                <w:szCs w:val="20"/>
                <w:lang w:eastAsia="es-CL"/>
              </w:rPr>
            </w:pPr>
          </w:p>
          <w:p w14:paraId="1D51FD72" w14:textId="77777777" w:rsidR="0003309E" w:rsidRDefault="0003309E" w:rsidP="00585A13">
            <w:pPr>
              <w:jc w:val="both"/>
              <w:rPr>
                <w:rFonts w:ascii="Calibri" w:hAnsi="Calibri" w:cs="Arial"/>
                <w:i/>
                <w:color w:val="548DD4"/>
                <w:sz w:val="20"/>
                <w:szCs w:val="20"/>
                <w:lang w:eastAsia="es-CL"/>
              </w:rPr>
            </w:pPr>
          </w:p>
          <w:p w14:paraId="6D74B9FB" w14:textId="77777777" w:rsidR="0003309E" w:rsidRDefault="0003309E" w:rsidP="00585A13">
            <w:pPr>
              <w:jc w:val="both"/>
              <w:rPr>
                <w:rFonts w:ascii="Calibri" w:hAnsi="Calibri" w:cs="Arial"/>
                <w:i/>
                <w:color w:val="548DD4"/>
                <w:sz w:val="20"/>
                <w:szCs w:val="20"/>
                <w:lang w:eastAsia="es-CL"/>
              </w:rPr>
            </w:pPr>
          </w:p>
          <w:p w14:paraId="320FBB89" w14:textId="77777777" w:rsidR="0003309E" w:rsidRDefault="0003309E" w:rsidP="00585A13">
            <w:pPr>
              <w:jc w:val="both"/>
              <w:rPr>
                <w:rFonts w:ascii="Calibri" w:hAnsi="Calibri" w:cs="Arial"/>
                <w:i/>
                <w:color w:val="548DD4"/>
                <w:sz w:val="20"/>
                <w:szCs w:val="20"/>
                <w:lang w:eastAsia="es-CL"/>
              </w:rPr>
            </w:pPr>
          </w:p>
          <w:p w14:paraId="209A393C" w14:textId="77777777" w:rsidR="0003309E" w:rsidRDefault="0003309E" w:rsidP="00585A13">
            <w:pPr>
              <w:jc w:val="both"/>
              <w:rPr>
                <w:rFonts w:ascii="Calibri" w:hAnsi="Calibri" w:cs="Arial"/>
                <w:i/>
                <w:color w:val="548DD4"/>
                <w:sz w:val="20"/>
                <w:szCs w:val="20"/>
                <w:lang w:eastAsia="es-CL"/>
              </w:rPr>
            </w:pPr>
          </w:p>
          <w:p w14:paraId="57926AB1" w14:textId="77777777" w:rsidR="0003309E" w:rsidRPr="00711C16" w:rsidRDefault="0003309E" w:rsidP="00585A13">
            <w:pPr>
              <w:jc w:val="both"/>
              <w:rPr>
                <w:rFonts w:ascii="Calibri" w:hAnsi="Calibri" w:cs="Arial"/>
                <w:i/>
                <w:color w:val="548DD4"/>
                <w:sz w:val="20"/>
                <w:szCs w:val="20"/>
                <w:lang w:eastAsia="es-CL"/>
              </w:rPr>
            </w:pPr>
          </w:p>
        </w:tc>
      </w:tr>
    </w:tbl>
    <w:p w14:paraId="43BCEF62"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5E622" w14:textId="77777777" w:rsidR="006A1FB0" w:rsidRDefault="006A1FB0" w:rsidP="0003309E">
      <w:pPr>
        <w:spacing w:after="0" w:line="240" w:lineRule="auto"/>
      </w:pPr>
      <w:r>
        <w:separator/>
      </w:r>
    </w:p>
  </w:endnote>
  <w:endnote w:type="continuationSeparator" w:id="0">
    <w:p w14:paraId="63E6A123" w14:textId="77777777" w:rsidR="006A1FB0" w:rsidRDefault="006A1FB0"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DA7A3" w14:textId="77777777" w:rsidR="006A1FB0" w:rsidRDefault="006A1FB0" w:rsidP="0003309E">
      <w:pPr>
        <w:spacing w:after="0" w:line="240" w:lineRule="auto"/>
      </w:pPr>
      <w:r>
        <w:separator/>
      </w:r>
    </w:p>
  </w:footnote>
  <w:footnote w:type="continuationSeparator" w:id="0">
    <w:p w14:paraId="0BF85EB4" w14:textId="77777777" w:rsidR="006A1FB0" w:rsidRDefault="006A1FB0" w:rsidP="0003309E">
      <w:pPr>
        <w:spacing w:after="0" w:line="240" w:lineRule="auto"/>
      </w:pPr>
      <w:r>
        <w:continuationSeparator/>
      </w:r>
    </w:p>
  </w:footnote>
  <w:footnote w:id="1">
    <w:p w14:paraId="63AD729F"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31278E9F" w14:textId="77777777" w:rsidTr="00C44557">
      <w:trPr>
        <w:trHeight w:val="697"/>
      </w:trPr>
      <w:tc>
        <w:tcPr>
          <w:tcW w:w="5954" w:type="dxa"/>
          <w:tcBorders>
            <w:top w:val="nil"/>
            <w:left w:val="nil"/>
            <w:bottom w:val="nil"/>
            <w:right w:val="nil"/>
          </w:tcBorders>
        </w:tcPr>
        <w:p w14:paraId="13F639C8"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681367F3"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4B87BB41"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59733B7"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C95"/>
    <w:multiLevelType w:val="multilevel"/>
    <w:tmpl w:val="04C6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0E326CB"/>
    <w:multiLevelType w:val="hybridMultilevel"/>
    <w:tmpl w:val="FB0A4A58"/>
    <w:lvl w:ilvl="0" w:tplc="580A000F">
      <w:start w:val="1"/>
      <w:numFmt w:val="decimal"/>
      <w:lvlText w:val="%1."/>
      <w:lvlJc w:val="left"/>
      <w:pPr>
        <w:ind w:left="1440" w:hanging="360"/>
      </w:pPr>
    </w:lvl>
    <w:lvl w:ilvl="1" w:tplc="580A0019" w:tentative="1">
      <w:start w:val="1"/>
      <w:numFmt w:val="lowerLetter"/>
      <w:lvlText w:val="%2."/>
      <w:lvlJc w:val="left"/>
      <w:pPr>
        <w:ind w:left="2160" w:hanging="360"/>
      </w:pPr>
    </w:lvl>
    <w:lvl w:ilvl="2" w:tplc="580A001B" w:tentative="1">
      <w:start w:val="1"/>
      <w:numFmt w:val="lowerRoman"/>
      <w:lvlText w:val="%3."/>
      <w:lvlJc w:val="right"/>
      <w:pPr>
        <w:ind w:left="2880" w:hanging="180"/>
      </w:pPr>
    </w:lvl>
    <w:lvl w:ilvl="3" w:tplc="580A000F" w:tentative="1">
      <w:start w:val="1"/>
      <w:numFmt w:val="decimal"/>
      <w:lvlText w:val="%4."/>
      <w:lvlJc w:val="left"/>
      <w:pPr>
        <w:ind w:left="3600" w:hanging="360"/>
      </w:pPr>
    </w:lvl>
    <w:lvl w:ilvl="4" w:tplc="580A0019" w:tentative="1">
      <w:start w:val="1"/>
      <w:numFmt w:val="lowerLetter"/>
      <w:lvlText w:val="%5."/>
      <w:lvlJc w:val="left"/>
      <w:pPr>
        <w:ind w:left="4320" w:hanging="360"/>
      </w:pPr>
    </w:lvl>
    <w:lvl w:ilvl="5" w:tplc="580A001B" w:tentative="1">
      <w:start w:val="1"/>
      <w:numFmt w:val="lowerRoman"/>
      <w:lvlText w:val="%6."/>
      <w:lvlJc w:val="right"/>
      <w:pPr>
        <w:ind w:left="5040" w:hanging="180"/>
      </w:pPr>
    </w:lvl>
    <w:lvl w:ilvl="6" w:tplc="580A000F" w:tentative="1">
      <w:start w:val="1"/>
      <w:numFmt w:val="decimal"/>
      <w:lvlText w:val="%7."/>
      <w:lvlJc w:val="left"/>
      <w:pPr>
        <w:ind w:left="5760" w:hanging="360"/>
      </w:pPr>
    </w:lvl>
    <w:lvl w:ilvl="7" w:tplc="580A0019" w:tentative="1">
      <w:start w:val="1"/>
      <w:numFmt w:val="lowerLetter"/>
      <w:lvlText w:val="%8."/>
      <w:lvlJc w:val="left"/>
      <w:pPr>
        <w:ind w:left="6480" w:hanging="360"/>
      </w:pPr>
    </w:lvl>
    <w:lvl w:ilvl="8" w:tplc="580A001B" w:tentative="1">
      <w:start w:val="1"/>
      <w:numFmt w:val="lowerRoman"/>
      <w:lvlText w:val="%9."/>
      <w:lvlJc w:val="right"/>
      <w:pPr>
        <w:ind w:left="7200" w:hanging="180"/>
      </w:pPr>
    </w:lvl>
  </w:abstractNum>
  <w:abstractNum w:abstractNumId="3" w15:restartNumberingAfterBreak="0">
    <w:nsid w:val="69C73608"/>
    <w:multiLevelType w:val="hybridMultilevel"/>
    <w:tmpl w:val="CFDCC5F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23834104">
    <w:abstractNumId w:val="1"/>
  </w:num>
  <w:num w:numId="2" w16cid:durableId="1570339003">
    <w:abstractNumId w:val="3"/>
  </w:num>
  <w:num w:numId="3" w16cid:durableId="361633764">
    <w:abstractNumId w:val="2"/>
  </w:num>
  <w:num w:numId="4" w16cid:durableId="362752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579F7"/>
    <w:rsid w:val="00065341"/>
    <w:rsid w:val="000A1331"/>
    <w:rsid w:val="00145B36"/>
    <w:rsid w:val="00147283"/>
    <w:rsid w:val="00253A89"/>
    <w:rsid w:val="00255AC5"/>
    <w:rsid w:val="0027648D"/>
    <w:rsid w:val="003608EA"/>
    <w:rsid w:val="0045626E"/>
    <w:rsid w:val="00470CE4"/>
    <w:rsid w:val="004B75F6"/>
    <w:rsid w:val="004F4FE2"/>
    <w:rsid w:val="00521026"/>
    <w:rsid w:val="00545F23"/>
    <w:rsid w:val="00553A9D"/>
    <w:rsid w:val="00563B43"/>
    <w:rsid w:val="00586C9C"/>
    <w:rsid w:val="005A0A7C"/>
    <w:rsid w:val="005B4D4A"/>
    <w:rsid w:val="00603474"/>
    <w:rsid w:val="00675035"/>
    <w:rsid w:val="00675A73"/>
    <w:rsid w:val="006858A7"/>
    <w:rsid w:val="00691BC6"/>
    <w:rsid w:val="00694AF3"/>
    <w:rsid w:val="00695E7C"/>
    <w:rsid w:val="006A1FB0"/>
    <w:rsid w:val="006B242E"/>
    <w:rsid w:val="006B6CD5"/>
    <w:rsid w:val="00806DE0"/>
    <w:rsid w:val="0081536B"/>
    <w:rsid w:val="008479F5"/>
    <w:rsid w:val="0085275A"/>
    <w:rsid w:val="008F621F"/>
    <w:rsid w:val="009378F7"/>
    <w:rsid w:val="009552E5"/>
    <w:rsid w:val="009732D5"/>
    <w:rsid w:val="00976ABB"/>
    <w:rsid w:val="00991A39"/>
    <w:rsid w:val="009E52DF"/>
    <w:rsid w:val="00A416D7"/>
    <w:rsid w:val="00A825C8"/>
    <w:rsid w:val="00A92C7E"/>
    <w:rsid w:val="00B231DD"/>
    <w:rsid w:val="00B31361"/>
    <w:rsid w:val="00B4258F"/>
    <w:rsid w:val="00B8164D"/>
    <w:rsid w:val="00BE1024"/>
    <w:rsid w:val="00C10E40"/>
    <w:rsid w:val="00C20F3D"/>
    <w:rsid w:val="00C44557"/>
    <w:rsid w:val="00C5122E"/>
    <w:rsid w:val="00C75ACA"/>
    <w:rsid w:val="00CD4BD0"/>
    <w:rsid w:val="00CE0AA8"/>
    <w:rsid w:val="00D67975"/>
    <w:rsid w:val="00D714E2"/>
    <w:rsid w:val="00DF3386"/>
    <w:rsid w:val="00E07498"/>
    <w:rsid w:val="00E50368"/>
    <w:rsid w:val="00E61927"/>
    <w:rsid w:val="00EA0C09"/>
    <w:rsid w:val="00EC10E2"/>
    <w:rsid w:val="00EE7C1E"/>
    <w:rsid w:val="00F379AF"/>
    <w:rsid w:val="00FC4EBF"/>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E8272"/>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C75A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9</Pages>
  <Words>2305</Words>
  <Characters>12683</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Alejandro Antonio Rodríguez Leiva (alejandrorodriguez)</cp:lastModifiedBy>
  <cp:revision>10</cp:revision>
  <dcterms:created xsi:type="dcterms:W3CDTF">2022-08-24T18:14:00Z</dcterms:created>
  <dcterms:modified xsi:type="dcterms:W3CDTF">2026-10-18T19:24:00Z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