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CAD54" w14:textId="77777777" w:rsidR="0003309E" w:rsidRDefault="0003309E" w:rsidP="0003309E"/>
    <w:p w14:paraId="71B21EB8"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59516351" w14:textId="77777777" w:rsidR="0003309E" w:rsidRDefault="0003309E" w:rsidP="0003309E">
      <w:pPr>
        <w:rPr>
          <w:rFonts w:cs="Calibri Light"/>
          <w:color w:val="595959" w:themeColor="text1" w:themeTint="A6"/>
          <w:sz w:val="24"/>
          <w:szCs w:val="24"/>
          <w:lang w:val="es-ES"/>
        </w:rPr>
      </w:pPr>
    </w:p>
    <w:p w14:paraId="225BF89D" w14:textId="77777777" w:rsidR="0003309E" w:rsidRDefault="0003309E" w:rsidP="0003309E">
      <w:pPr>
        <w:rPr>
          <w:rFonts w:cs="Calibri Light"/>
          <w:color w:val="595959" w:themeColor="text1" w:themeTint="A6"/>
          <w:sz w:val="24"/>
          <w:szCs w:val="24"/>
          <w:lang w:val="es-ES"/>
        </w:rPr>
      </w:pPr>
    </w:p>
    <w:p w14:paraId="3D5D5EE0" w14:textId="77777777" w:rsidR="0003309E" w:rsidRDefault="0003309E" w:rsidP="0003309E">
      <w:pPr>
        <w:rPr>
          <w:rFonts w:cs="Calibri Light"/>
          <w:color w:val="595959" w:themeColor="text1" w:themeTint="A6"/>
          <w:sz w:val="24"/>
          <w:szCs w:val="24"/>
          <w:lang w:val="es-ES"/>
        </w:rPr>
      </w:pPr>
    </w:p>
    <w:p w14:paraId="420D87EC" w14:textId="77777777" w:rsidR="0003309E" w:rsidRDefault="0003309E" w:rsidP="0003309E">
      <w:pPr>
        <w:rPr>
          <w:rFonts w:cs="Calibri Light"/>
          <w:color w:val="595959" w:themeColor="text1" w:themeTint="A6"/>
          <w:sz w:val="24"/>
          <w:szCs w:val="24"/>
          <w:lang w:val="es-ES"/>
        </w:rPr>
      </w:pPr>
    </w:p>
    <w:p w14:paraId="1C244CB1" w14:textId="77777777" w:rsidR="0003309E" w:rsidRDefault="0003309E" w:rsidP="0003309E">
      <w:pPr>
        <w:rPr>
          <w:rFonts w:cs="Calibri Light"/>
          <w:color w:val="595959" w:themeColor="text1" w:themeTint="A6"/>
          <w:sz w:val="24"/>
          <w:szCs w:val="24"/>
          <w:lang w:val="es-ES"/>
        </w:rPr>
      </w:pPr>
    </w:p>
    <w:p w14:paraId="379EE19E"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374CABD8" w14:textId="77777777" w:rsidTr="00C5122E">
        <w:trPr>
          <w:trHeight w:val="440"/>
        </w:trPr>
        <w:tc>
          <w:tcPr>
            <w:tcW w:w="9639" w:type="dxa"/>
            <w:vAlign w:val="center"/>
          </w:tcPr>
          <w:p w14:paraId="65423088"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 Resumen avance Proyecto APT</w:t>
            </w:r>
          </w:p>
        </w:tc>
      </w:tr>
      <w:tr w:rsidR="0003309E" w14:paraId="4CA8D377" w14:textId="77777777" w:rsidTr="00C5122E">
        <w:trPr>
          <w:trHeight w:val="800"/>
        </w:trPr>
        <w:tc>
          <w:tcPr>
            <w:tcW w:w="9639" w:type="dxa"/>
            <w:shd w:val="clear" w:color="auto" w:fill="D9E2F3" w:themeFill="accent1" w:themeFillTint="33"/>
            <w:vAlign w:val="center"/>
          </w:tcPr>
          <w:p w14:paraId="13696087"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03C54D75" w14:textId="77777777" w:rsidR="0003309E" w:rsidRDefault="0003309E" w:rsidP="0003309E">
      <w:pPr>
        <w:spacing w:after="0" w:line="240" w:lineRule="auto"/>
        <w:rPr>
          <w:rFonts w:cs="Calibri Light"/>
          <w:color w:val="595959" w:themeColor="text1" w:themeTint="A6"/>
          <w:sz w:val="24"/>
          <w:szCs w:val="24"/>
          <w:lang w:val="es-ES"/>
        </w:rPr>
      </w:pPr>
    </w:p>
    <w:p w14:paraId="43393115"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A51CBA" w14:textId="77777777" w:rsidTr="000A1331">
        <w:tc>
          <w:tcPr>
            <w:tcW w:w="2528" w:type="dxa"/>
            <w:vAlign w:val="center"/>
          </w:tcPr>
          <w:p w14:paraId="041CD996"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 de avance proyecto APT</w:t>
            </w:r>
          </w:p>
        </w:tc>
        <w:tc>
          <w:tcPr>
            <w:tcW w:w="7111" w:type="dxa"/>
          </w:tcPr>
          <w:p w14:paraId="61D3F2A2"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32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p>
          <w:p w14:paraId="1B1011F6"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p>
          <w:p w14:paraId="528DCD6D" w14:textId="77777777" w:rsidR="0003309E" w:rsidRDefault="009732D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Con esto se cumplen avances de los objetivos específicos de arquitectura en tres capas y de eliminación de las vulnerabilidades del sistema legado (acceso directo a la base y contraseñas sin protección). Se ajustó el alcance a cuatro épicas, como se detalla en Objetivos.</w:t>
            </w:r>
          </w:p>
          <w:p w14:paraId="250EBE3E" w14:textId="77777777" w:rsidR="0003309E" w:rsidRPr="00711C16" w:rsidRDefault="0003309E" w:rsidP="00585A13">
            <w:pPr>
              <w:jc w:val="both"/>
              <w:rPr>
                <w:rFonts w:ascii="Calibri" w:hAnsi="Calibri" w:cs="Arial"/>
                <w:i/>
                <w:color w:val="548DD4"/>
                <w:sz w:val="20"/>
                <w:szCs w:val="20"/>
                <w:lang w:eastAsia="es-CL"/>
              </w:rPr>
            </w:pPr>
          </w:p>
        </w:tc>
      </w:tr>
      <w:tr w:rsidR="0003309E" w14:paraId="167B9DDE" w14:textId="77777777" w:rsidTr="000A1331">
        <w:trPr>
          <w:trHeight w:val="1247"/>
        </w:trPr>
        <w:tc>
          <w:tcPr>
            <w:tcW w:w="2528" w:type="dxa"/>
            <w:vAlign w:val="center"/>
          </w:tcPr>
          <w:p w14:paraId="764BDAFE"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571D30CB"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Ajuste de alcance.</w:t>
            </w:r>
            <w:r>
              <w:rPr>
                <w:rFonts w:ascii="Calibri" w:hAnsi="Calibri" w:cs="Arial"/>
                <w:b/>
                <w:i/>
                <w:color w:val="548DD4"/>
                <w:sz w:val="20"/>
                <w:szCs w:val="20"/>
                <w:lang w:val="es-419" w:eastAsia="es-CL"/>
              </w:rPr>
              <w:t xml:space="preserv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15E5B297"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general (ajustado):</w:t>
            </w:r>
            <w:r>
              <w:rPr>
                <w:rFonts w:ascii="Calibri" w:hAnsi="Calibri" w:cs="Arial"/>
                <w:b/>
                <w:i/>
                <w:color w:val="548DD4"/>
                <w:sz w:val="20"/>
                <w:szCs w:val="20"/>
                <w:lang w:val="es-419" w:eastAsia="es-CL"/>
              </w:rPr>
              <w:t xml:space="preserve"> Desarrollar e implementar el sistema de trazabilidad de fruta A2D SM bajo una arquitectura de tres capas (React – FastAPI – Base de datos) y estándares IEEE 830, ISO 9000 y PMI, eliminando las vulnerabilidades de </w:t>
            </w:r>
            <w:r>
              <w:rPr>
                <w:rFonts w:ascii="Calibri" w:hAnsi="Calibri" w:cs="Arial"/>
                <w:b/>
                <w:i/>
                <w:color w:val="548DD4"/>
                <w:sz w:val="20"/>
                <w:szCs w:val="20"/>
                <w:lang w:val="es-419" w:eastAsia="es-CL"/>
              </w:rPr>
              <w:lastRenderedPageBreak/>
              <w:t>seguridad del sistema legado y garantizando la integridad de las operaciones de recepción, procesamiento y auditoría.</w:t>
            </w:r>
          </w:p>
          <w:p w14:paraId="28011257"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Objetivo específico 3 (ajustado):</w:t>
            </w:r>
            <w:r>
              <w:rPr>
                <w:rFonts w:ascii="Calibri" w:hAnsi="Calibri" w:cs="Arial"/>
                <w:b/>
                <w:i/>
                <w:color w:val="548DD4"/>
                <w:sz w:val="20"/>
                <w:szCs w:val="20"/>
                <w:lang w:val="es-419" w:eastAsia="es-CL"/>
              </w:rPr>
              <w:t xml:space="preserve"> Desarrollar la API backend en FastAPI para gestionar las reglas de negocio de recepción de fruta (tarjas, cálculo de kilos y stock de bandejas) y procesamiento (cálculo de rendimiento y merma).</w:t>
            </w:r>
          </w:p>
          <w:p w14:paraId="4C295205"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i/>
                <w:color w:val="548DD4"/>
                <w:sz w:val="20"/>
                <w:szCs w:val="20"/>
                <w:lang w:val="es-419" w:eastAsia="es-CL"/>
              </w:rPr>
              <w:t>Los demás objetivos específicos se mantienen sin cambios.</w:t>
            </w:r>
          </w:p>
          <w:p w14:paraId="683C6F6B"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Roles del sistema:</w:t>
            </w:r>
            <w:r>
              <w:rPr>
                <w:rFonts w:ascii="Calibri" w:hAnsi="Calibri" w:cs="Arial"/>
                <w:b/>
                <w:i/>
                <w:color w:val="548DD4"/>
                <w:sz w:val="20"/>
                <w:szCs w:val="20"/>
                <w:lang w:val="es-419" w:eastAsia="es-CL"/>
              </w:rPr>
              <w:t xml:space="preserve"> operador de recepción, operador de proceso, administrador y gerencia. No se considera operador de bodega, porque ese módulo queda fuera del alcance.</w:t>
            </w:r>
          </w:p>
          <w:p w14:paraId="718B4165" w14:textId="77777777" w:rsidR="00255AC5" w:rsidRPr="00255AC5" w:rsidRDefault="00255AC5" w:rsidP="00255AC5">
            <w:pPr>
              <w:jc w:val="both"/>
              <w:rPr>
                <w:rFonts w:ascii="Calibri" w:hAnsi="Calibri" w:cs="Arial"/>
                <w:b/>
                <w:i/>
                <w:color w:val="548DD4"/>
                <w:sz w:val="20"/>
                <w:szCs w:val="20"/>
                <w:lang w:val="es-419" w:eastAsia="es-CL"/>
              </w:rPr>
            </w:pPr>
            <w:r>
              <w:rPr>
                <w:rFonts w:ascii="Calibri" w:hAnsi="Calibri" w:cs="Arial"/>
                <w:b/>
                <w:bCs/>
                <w:i/>
                <w:color w:val="548DD4"/>
                <w:sz w:val="20"/>
                <w:szCs w:val="20"/>
                <w:lang w:val="es-419" w:eastAsia="es-CL"/>
              </w:rPr>
              <w:t xml:space="preserve">Ajuste de diseño (2026-10-04): </w:t>
            </w:r>
            <w:r>
              <w:rPr>
                <w:rFonts w:ascii="Calibri" w:hAnsi="Calibri" w:cs="Arial"/>
                <w:b/>
                <w:i/>
                <w:color w:val="548DD4"/>
                <w:sz w:val="20"/>
                <w:szCs w:val="20"/>
                <w:lang w:val="es-419" w:eastAsia="es-CL"/>
              </w:rPr>
              <w:t>la tarja es el registro de recepción; la guía de recepción que agrupa tarjas (con la devolución de bandejas al productor) y la migración de datos del sistema legado quedan fuera del PMV, como trabajo posterior.</w:t>
            </w:r>
          </w:p>
          <w:p w14:paraId="0658C49E" w14:textId="77777777" w:rsidR="00C75ACA" w:rsidRPr="00C75ACA" w:rsidRDefault="00C75ACA" w:rsidP="00EC10E2">
            <w:pPr>
              <w:jc w:val="both"/>
              <w:rPr>
                <w:rFonts w:ascii="Calibri" w:hAnsi="Calibri" w:cs="Arial"/>
                <w:b/>
                <w:i/>
                <w:color w:val="548DD4"/>
                <w:sz w:val="20"/>
                <w:szCs w:val="20"/>
                <w:lang w:eastAsia="es-CL"/>
              </w:rPr>
            </w:pPr>
          </w:p>
        </w:tc>
      </w:tr>
      <w:tr w:rsidR="0003309E" w14:paraId="134BBC4F" w14:textId="77777777" w:rsidTr="000A1331">
        <w:trPr>
          <w:trHeight w:val="939"/>
        </w:trPr>
        <w:tc>
          <w:tcPr>
            <w:tcW w:w="2528" w:type="dxa"/>
            <w:vAlign w:val="center"/>
          </w:tcPr>
          <w:p w14:paraId="1F64178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DE773A0" w14:textId="77777777" w:rsidR="0003309E" w:rsidRPr="00711C16" w:rsidRDefault="00255AC5"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0E2C653C" w14:textId="77777777" w:rsidTr="000A1331">
        <w:trPr>
          <w:trHeight w:val="2377"/>
        </w:trPr>
        <w:tc>
          <w:tcPr>
            <w:tcW w:w="2528" w:type="dxa"/>
            <w:vAlign w:val="center"/>
          </w:tcPr>
          <w:p w14:paraId="5B83EDDA"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6F48A526" w14:textId="77777777" w:rsidR="00A416D7" w:rsidRDefault="00000000">
            <w:pPr>
              <w:jc w:val="both"/>
              <w:rPr>
                <w:rFonts w:ascii="Calibri" w:hAnsi="Calibri" w:cs="Arial"/>
                <w:i/>
                <w:color w:val="548DD4"/>
                <w:sz w:val="20"/>
                <w:szCs w:val="20"/>
                <w:lang w:eastAsia="es-CL"/>
              </w:rPr>
            </w:pPr>
            <w:r>
              <w:rPr>
                <w:rFonts w:ascii="Calibri" w:hAnsi="Calibri" w:cs="Arial"/>
                <w:i/>
                <w:color w:val="548DD4"/>
                <w:sz w:val="20"/>
                <w:szCs w:val="20"/>
                <w:lang w:eastAsia="es-CL"/>
              </w:rPr>
              <w:t>La evidencia de avance comprometida en la Fase 1 ("Módulos funcionales E1 y E2") se ajustó a la Épica 1 el 17/10/2026, porque la Carta Gantt ubica E2 en las semanas S9 y S10 (19/10 al 01/11); E2 pasa a la evidencia final junto con E3 y E4.</w:t>
            </w:r>
          </w:p>
          <w:p w14:paraId="50F4A4A8" w14:textId="77777777" w:rsidR="009732D5" w:rsidRDefault="009732D5" w:rsidP="009732D5">
            <w:pPr>
              <w:jc w:val="both"/>
              <w:rPr>
                <w:rFonts w:ascii="Calibri" w:hAnsi="Calibri" w:cs="Arial"/>
                <w:i/>
                <w:color w:val="548DD4"/>
                <w:sz w:val="20"/>
                <w:szCs w:val="20"/>
                <w:lang w:eastAsia="es-CL"/>
              </w:rPr>
            </w:pPr>
            <w:proofErr w:type="spellStart"/>
            <w:r>
              <w:rPr>
                <w:rFonts w:ascii="Calibri" w:hAnsi="Calibri" w:cs="Arial"/>
                <w:i/>
                <w:color w:val="548DD4"/>
                <w:sz w:val="20"/>
                <w:szCs w:val="20"/>
                <w:lang w:eastAsia="es-CL"/>
              </w:rPr>
              <w:t>Backend</w:t>
            </w:r>
            <w:proofErr w:type="spellEnd"/>
            <w:r>
              <w:rPr>
                <w:rFonts w:ascii="Calibri" w:hAnsi="Calibri" w:cs="Arial"/>
                <w:i/>
                <w:color w:val="548DD4"/>
                <w:sz w:val="20"/>
                <w:szCs w:val="20"/>
                <w:lang w:eastAsia="es-CL"/>
              </w:rPr>
              <w:t xml:space="preserve"> de autenticación operativo: POST /api/v1/auth/login, GET /api/v1/auth/me y gestión de usuarios (GET, POST y PUT /api/v1/auth/usuarios), protegidos por rol.</w:t>
            </w:r>
          </w:p>
          <w:p w14:paraId="545D92A1"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Frontend de inicio de sesión en React (Vite y Tailwind), con sesión persistente, rutas protegidas y cierre de sesión.</w:t>
            </w:r>
          </w:p>
          <w:p w14:paraId="24CEFCE9"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Base de datos SQL Server versionada con Alembic (2 migraciones).</w:t>
            </w:r>
          </w:p>
          <w:p w14:paraId="33C948FE" w14:textId="40BDB284"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Actas de pruebas en docs/pruebas/ del repositorio: 15 pruebas de aceptación HTTP, 14 pruebas automáticas de las dependencias de autorización y 17 pruebas complementarias (edición de usuarios, roles repetidos y rol gerencia), todas aprobadas.</w:t>
            </w:r>
          </w:p>
          <w:p w14:paraId="4C0203A7" w14:textId="77777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Entorno completo con Docker (docker compose up -d --build) y guía para levantarlo (docs/Como_Levantar_El_Proyecto.md).</w:t>
            </w:r>
          </w:p>
          <w:p w14:paraId="0452ED2C" w14:textId="4090D777" w:rsidR="009732D5" w:rsidRDefault="009732D5" w:rsidP="009732D5">
            <w:pPr>
              <w:jc w:val="both"/>
              <w:rPr>
                <w:rFonts w:ascii="Calibri" w:hAnsi="Calibri" w:cs="Arial"/>
                <w:i/>
                <w:color w:val="548DD4"/>
                <w:sz w:val="20"/>
                <w:szCs w:val="20"/>
                <w:lang w:eastAsia="es-CL"/>
              </w:rPr>
            </w:pPr>
            <w:r>
              <w:rPr>
                <w:rFonts w:ascii="Calibri" w:hAnsi="Calibri" w:cs="Arial"/>
                <w:i/>
                <w:color w:val="548DD4"/>
                <w:sz w:val="20"/>
                <w:szCs w:val="20"/>
                <w:lang w:eastAsia="es-CL"/>
              </w:rPr>
              <w:t>Diseño actualizado de E1 a E4 en el Documento 05 (Documento de Diseño) y en el Documento 02 (Product Backlog), a partir del análisis del sistema legado.</w:t>
            </w:r>
          </w:p>
          <w:p w14:paraId="7C6159BE" w14:textId="77777777" w:rsidR="0003309E" w:rsidRPr="00A370C8" w:rsidRDefault="009732D5" w:rsidP="009732D5">
            <w:pPr>
              <w:jc w:val="both"/>
              <w:rPr>
                <w:rFonts w:ascii="Calibri" w:hAnsi="Calibri" w:cs="Arial"/>
                <w:b/>
                <w:i/>
                <w:color w:val="548DD4"/>
                <w:sz w:val="20"/>
                <w:szCs w:val="20"/>
                <w:lang w:eastAsia="es-CL"/>
              </w:rPr>
            </w:pPr>
            <w:r>
              <w:rPr>
                <w:rFonts w:ascii="Calibri" w:hAnsi="Calibri" w:cs="Arial"/>
                <w:b/>
                <w:i/>
                <w:color w:val="548DD4"/>
                <w:sz w:val="20"/>
                <w:szCs w:val="20"/>
                <w:lang w:eastAsia="es-CL"/>
              </w:rPr>
              <w:t>Repositorio del sistema: https://github.com/Alejandroduoc/A2D_SM</w:t>
            </w:r>
          </w:p>
          <w:p w14:paraId="3DBCC708" w14:textId="77777777" w:rsidR="0003309E" w:rsidRPr="00A370C8" w:rsidRDefault="0003309E" w:rsidP="009732D5">
            <w:pPr>
              <w:jc w:val="both"/>
              <w:rPr>
                <w:rFonts w:ascii="Calibri" w:hAnsi="Calibri" w:cs="Arial"/>
                <w:b/>
                <w:i/>
                <w:color w:val="548DD4"/>
                <w:sz w:val="20"/>
                <w:szCs w:val="20"/>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6F70E928" w14:textId="77777777" w:rsidTr="000A1331">
        <w:trPr>
          <w:trHeight w:val="440"/>
        </w:trPr>
        <w:tc>
          <w:tcPr>
            <w:tcW w:w="9640" w:type="dxa"/>
            <w:vAlign w:val="center"/>
          </w:tcPr>
          <w:p w14:paraId="583474C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724D390C" w14:textId="77777777" w:rsidTr="000A1331">
        <w:trPr>
          <w:trHeight w:val="800"/>
        </w:trPr>
        <w:tc>
          <w:tcPr>
            <w:tcW w:w="9640" w:type="dxa"/>
            <w:shd w:val="clear" w:color="auto" w:fill="D9E2F3" w:themeFill="accent1" w:themeFillTint="33"/>
            <w:vAlign w:val="center"/>
          </w:tcPr>
          <w:p w14:paraId="59AD8ED4"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Examina cuidadosamente tu plan de trabajo, enfocándote especialmente en la columna de estado de avance y ajustes.</w:t>
            </w:r>
          </w:p>
        </w:tc>
      </w:tr>
    </w:tbl>
    <w:p w14:paraId="17927FFE"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7032A6F9" w14:textId="77777777" w:rsidTr="00EA0C09">
        <w:trPr>
          <w:trHeight w:val="415"/>
        </w:trPr>
        <w:tc>
          <w:tcPr>
            <w:tcW w:w="9776" w:type="dxa"/>
            <w:gridSpan w:val="8"/>
            <w:vAlign w:val="center"/>
          </w:tcPr>
          <w:p w14:paraId="6A44E5D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17341097" w14:textId="77777777" w:rsidTr="009552E5">
        <w:trPr>
          <w:trHeight w:val="711"/>
        </w:trPr>
        <w:tc>
          <w:tcPr>
            <w:tcW w:w="1328" w:type="dxa"/>
            <w:vAlign w:val="center"/>
          </w:tcPr>
          <w:p w14:paraId="623C82EF"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077" w:type="dxa"/>
            <w:vAlign w:val="center"/>
          </w:tcPr>
          <w:p w14:paraId="4677FAF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03E4B8E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7895DBC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275" w:type="dxa"/>
            <w:vAlign w:val="center"/>
          </w:tcPr>
          <w:p w14:paraId="281CDF5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276" w:type="dxa"/>
            <w:vAlign w:val="center"/>
          </w:tcPr>
          <w:p w14:paraId="76B1179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418" w:type="dxa"/>
            <w:vAlign w:val="center"/>
          </w:tcPr>
          <w:p w14:paraId="02E32041"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850" w:type="dxa"/>
            <w:vAlign w:val="center"/>
          </w:tcPr>
          <w:p w14:paraId="5E58FEC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0B82E0B5" w14:textId="77777777" w:rsidTr="00EA0C09">
        <w:trPr>
          <w:trHeight w:val="2410"/>
        </w:trPr>
        <w:tc>
          <w:tcPr>
            <w:tcW w:w="1328" w:type="dxa"/>
          </w:tcPr>
          <w:p w14:paraId="436D1C9D" w14:textId="77777777" w:rsidR="00FD5149" w:rsidRPr="006E3B0D" w:rsidRDefault="00B231DD" w:rsidP="00FD5149">
            <w:pPr>
              <w:jc w:val="both"/>
              <w:rPr>
                <w:b/>
                <w:sz w:val="18"/>
                <w:szCs w:val="24"/>
              </w:rPr>
            </w:pPr>
            <w:r>
              <w:rPr>
                <w:rFonts w:ascii="Calibri" w:hAnsi="Calibri" w:cs="Arial"/>
                <w:b/>
                <w:bCs/>
                <w:i/>
                <w:color w:val="548DD4"/>
                <w:sz w:val="18"/>
                <w:szCs w:val="20"/>
                <w:lang w:eastAsia="es-CL"/>
              </w:rPr>
              <w:t>Gestionar proyectos informáticos utilizando metodologías ágiles y herramientas de planificación.</w:t>
            </w:r>
          </w:p>
        </w:tc>
        <w:tc>
          <w:tcPr>
            <w:tcW w:w="1077" w:type="dxa"/>
          </w:tcPr>
          <w:p w14:paraId="4BEF8FDF"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406F39E0" w14:textId="77777777" w:rsidR="00FD5149" w:rsidRPr="006E3B0D" w:rsidRDefault="00B231DD" w:rsidP="00FD5149">
            <w:pPr>
              <w:jc w:val="both"/>
              <w:rPr>
                <w:b/>
                <w:sz w:val="18"/>
                <w:szCs w:val="24"/>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060C1461" w14:textId="77777777" w:rsidR="00FD5149" w:rsidRPr="006E3B0D" w:rsidRDefault="00B231DD" w:rsidP="00FD5149">
            <w:pPr>
              <w:jc w:val="both"/>
              <w:rPr>
                <w:b/>
                <w:sz w:val="18"/>
                <w:szCs w:val="24"/>
              </w:rPr>
            </w:pPr>
            <w:r>
              <w:rPr>
                <w:rFonts w:ascii="Calibri" w:hAnsi="Calibri" w:cs="Arial"/>
                <w:i/>
                <w:color w:val="548DD4"/>
                <w:sz w:val="18"/>
                <w:szCs w:val="20"/>
                <w:lang w:eastAsia="es-CL"/>
              </w:rPr>
              <w:t>Durante todo el proyecto. Sprints semanales.</w:t>
            </w:r>
          </w:p>
        </w:tc>
        <w:tc>
          <w:tcPr>
            <w:tcW w:w="1275" w:type="dxa"/>
          </w:tcPr>
          <w:p w14:paraId="18768417"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276" w:type="dxa"/>
          </w:tcPr>
          <w:p w14:paraId="15B61856"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backlog contempla cuatro épicas y 25 historias de usuario. Las 23 originales suman 84 Story Points; HU24 y HU25 (anulación de tarjas y de procesos, agregadas el 2026-10-04) están por estimar.</w:t>
            </w:r>
          </w:p>
        </w:tc>
        <w:tc>
          <w:tcPr>
            <w:tcW w:w="1418" w:type="dxa"/>
          </w:tcPr>
          <w:p w14:paraId="05D054A4" w14:textId="77777777" w:rsidR="00FD5149" w:rsidRPr="00E54467" w:rsidRDefault="00B231DD" w:rsidP="00FD5149">
            <w:pPr>
              <w:jc w:val="both"/>
              <w:rPr>
                <w:rFonts w:ascii="Calibri" w:hAnsi="Calibri" w:cs="Arial"/>
                <w:i/>
                <w:color w:val="C00000"/>
                <w:sz w:val="16"/>
                <w:szCs w:val="20"/>
                <w:lang w:eastAsia="es-CL"/>
              </w:rPr>
            </w:pPr>
            <w:r>
              <w:rPr>
                <w:rFonts w:ascii="Calibri" w:hAnsi="Calibri" w:cs="Arial"/>
                <w:b/>
                <w:bCs/>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850" w:type="dxa"/>
          </w:tcPr>
          <w:p w14:paraId="244BD04D"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7F1E9B36" w14:textId="77777777" w:rsidTr="00EA0C09">
        <w:trPr>
          <w:trHeight w:val="2410"/>
        </w:trPr>
        <w:tc>
          <w:tcPr>
            <w:tcW w:w="1328" w:type="dxa"/>
          </w:tcPr>
          <w:p w14:paraId="36F34537"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soluciones informáticas considerando arquitectura, seguridad y mantenibilidad.</w:t>
            </w:r>
          </w:p>
        </w:tc>
        <w:tc>
          <w:tcPr>
            <w:tcW w:w="1077" w:type="dxa"/>
          </w:tcPr>
          <w:p w14:paraId="2DB31112"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49A29AF5"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7E1F846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275" w:type="dxa"/>
          </w:tcPr>
          <w:p w14:paraId="1A27C76D"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(diagramas), con revisión del equipo.</w:t>
            </w:r>
          </w:p>
        </w:tc>
        <w:tc>
          <w:tcPr>
            <w:tcW w:w="1276" w:type="dxa"/>
          </w:tcPr>
          <w:p w14:paraId="031A7040"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418" w:type="dxa"/>
          </w:tcPr>
          <w:p w14:paraId="2850FDF3"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Avanzada. La arquitectura y los diagramas están documentados. El 2026-10-04 se actualizaron el modelo E-R, el diagrama de clases, la secuencia de recepción y las historias de usuario con las reglas de negocio obtenidas del sistema legado.</w:t>
            </w:r>
          </w:p>
        </w:tc>
        <w:tc>
          <w:tcPr>
            <w:tcW w:w="850" w:type="dxa"/>
          </w:tcPr>
          <w:p w14:paraId="462B1DAF"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Se ajustaron los roles y se quitaron módulos fuera del alcance. El modelo E-R se rediseñó desde el código del sistema legado (ver </w:t>
            </w:r>
            <w:r>
              <w:rPr>
                <w:rFonts w:ascii="Calibri" w:hAnsi="Calibri" w:cs="Arial"/>
                <w:i/>
                <w:color w:val="548DD4"/>
                <w:sz w:val="18"/>
                <w:szCs w:val="20"/>
                <w:lang w:eastAsia="es-CL"/>
              </w:rPr>
              <w:lastRenderedPageBreak/>
              <w:t>sección 3).</w:t>
            </w:r>
          </w:p>
        </w:tc>
      </w:tr>
      <w:tr w:rsidR="00B231DD" w:rsidRPr="006E3B0D" w14:paraId="676036AC" w14:textId="77777777" w:rsidTr="00EA0C09">
        <w:trPr>
          <w:trHeight w:val="2410"/>
        </w:trPr>
        <w:tc>
          <w:tcPr>
            <w:tcW w:w="1328" w:type="dxa"/>
          </w:tcPr>
          <w:p w14:paraId="5435623F" w14:textId="77777777" w:rsidR="00B231DD" w:rsidRPr="00B231DD" w:rsidRDefault="00B231DD"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Implementar mecanismos de autenticación y control de acceso.</w:t>
            </w:r>
          </w:p>
        </w:tc>
        <w:tc>
          <w:tcPr>
            <w:tcW w:w="1077" w:type="dxa"/>
          </w:tcPr>
          <w:p w14:paraId="1F070001"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6A97D62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5E00051D" w14:textId="15F66395"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S4 a S6 (18/09 al 04/10), antes de lo planificado en la Carta Gantt (S7–S8)</w:t>
            </w:r>
          </w:p>
        </w:tc>
        <w:tc>
          <w:tcPr>
            <w:tcW w:w="1275" w:type="dxa"/>
          </w:tcPr>
          <w:p w14:paraId="41D10D0A" w14:textId="77777777" w:rsid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(modelo de usuarios y script del administrador), Diego Carrillo (router de autenticación y correcciones), Angelo Galindo (dependencias de autorización).</w:t>
            </w:r>
          </w:p>
        </w:tc>
        <w:tc>
          <w:tcPr>
            <w:tcW w:w="1276" w:type="dxa"/>
          </w:tcPr>
          <w:p w14:paraId="0BEE1ADE"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418" w:type="dxa"/>
          </w:tcPr>
          <w:p w14:paraId="48896F25" w14:textId="77777777" w:rsidR="00B231DD"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La API, los modelos, el login, la gestión de usuarios y las dependencias de autorización están implementados y probados.</w:t>
            </w:r>
          </w:p>
        </w:tc>
        <w:tc>
          <w:tcPr>
            <w:tcW w:w="850" w:type="dxa"/>
          </w:tcPr>
          <w:p w14:paraId="5B79B6A1"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65FC128A" w14:textId="77777777" w:rsidTr="00EA0C09">
        <w:trPr>
          <w:trHeight w:val="2410"/>
        </w:trPr>
        <w:tc>
          <w:tcPr>
            <w:tcW w:w="1328" w:type="dxa"/>
          </w:tcPr>
          <w:p w14:paraId="711E4BCF" w14:textId="77777777" w:rsidR="00253A89" w:rsidRPr="00B231DD"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Diseñar e implementar la base de datos y sus migraciones.</w:t>
            </w:r>
          </w:p>
        </w:tc>
        <w:tc>
          <w:tcPr>
            <w:tcW w:w="1077" w:type="dxa"/>
          </w:tcPr>
          <w:p w14:paraId="324F308C"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2306378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408C6F76"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669CD7A8"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Carrillo (analista de base de datos), Angelo Galindo (configuración de Alembic y migración inicial), Alejandro Rodríguez (migración del rol gerencia).</w:t>
            </w:r>
          </w:p>
        </w:tc>
        <w:tc>
          <w:tcPr>
            <w:tcW w:w="1276" w:type="dxa"/>
          </w:tcPr>
          <w:p w14:paraId="2A0A4769"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migración inicial crea usuarios, usuario_roles y alembic_version. Una segunda migración renombró el rol supervisor a gerencia sin perder datos.</w:t>
            </w:r>
          </w:p>
        </w:tc>
        <w:tc>
          <w:tcPr>
            <w:tcW w:w="1418" w:type="dxa"/>
          </w:tcPr>
          <w:p w14:paraId="676258E4"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Las dos migraciones están versionadas y se aplican con alembic upgrade head.</w:t>
            </w:r>
          </w:p>
        </w:tc>
        <w:tc>
          <w:tcPr>
            <w:tcW w:w="850" w:type="dxa"/>
          </w:tcPr>
          <w:p w14:paraId="42F90330"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41947D95" w14:textId="77777777" w:rsidTr="00EA0C09">
        <w:trPr>
          <w:trHeight w:val="2410"/>
        </w:trPr>
        <w:tc>
          <w:tcPr>
            <w:tcW w:w="1328" w:type="dxa"/>
          </w:tcPr>
          <w:p w14:paraId="12602AA0"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lastRenderedPageBreak/>
              <w:t>Realizar pruebas funcionales, de integración y de seguridad.</w:t>
            </w:r>
          </w:p>
        </w:tc>
        <w:tc>
          <w:tcPr>
            <w:tcW w:w="1077" w:type="dxa"/>
          </w:tcPr>
          <w:p w14:paraId="0E500496"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Probar /health, login correcto e incorrecto, usuarios desactivados, roles, creación de usuarios, contraseñas cifradas y respuestas sin password_hash.</w:t>
            </w:r>
          </w:p>
        </w:tc>
        <w:tc>
          <w:tcPr>
            <w:tcW w:w="1276" w:type="dxa"/>
          </w:tcPr>
          <w:p w14:paraId="2ECC946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7966302C"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 cierre de cada épica (1 semana).</w:t>
            </w:r>
          </w:p>
        </w:tc>
        <w:tc>
          <w:tcPr>
            <w:tcW w:w="1275" w:type="dxa"/>
          </w:tcPr>
          <w:p w14:paraId="6052F262"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 (QA).</w:t>
            </w:r>
          </w:p>
        </w:tc>
        <w:tc>
          <w:tcPr>
            <w:tcW w:w="1276" w:type="dxa"/>
          </w:tcPr>
          <w:p w14:paraId="692970BE"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418" w:type="dxa"/>
          </w:tcPr>
          <w:p w14:paraId="75D70C60" w14:textId="77777777" w:rsidR="00253A89" w:rsidRPr="00253A89" w:rsidRDefault="00253A89"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el backend de E1. Se documentaron los criterios HTTP y se verificaron las dependencias de autenticación.</w:t>
            </w:r>
          </w:p>
        </w:tc>
        <w:tc>
          <w:tcPr>
            <w:tcW w:w="850" w:type="dxa"/>
          </w:tcPr>
          <w:p w14:paraId="5602B98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Las pruebas del </w:t>
            </w:r>
            <w:proofErr w:type="spellStart"/>
            <w:r>
              <w:rPr>
                <w:rFonts w:ascii="Calibri" w:hAnsi="Calibri" w:cs="Arial"/>
                <w:i/>
                <w:color w:val="548DD4"/>
                <w:sz w:val="18"/>
                <w:szCs w:val="20"/>
                <w:lang w:eastAsia="es-CL"/>
              </w:rPr>
              <w:t>frontend</w:t>
            </w:r>
            <w:proofErr w:type="spellEnd"/>
            <w:r>
              <w:rPr>
                <w:rFonts w:ascii="Calibri" w:hAnsi="Calibri" w:cs="Arial"/>
                <w:i/>
                <w:color w:val="548DD4"/>
                <w:sz w:val="18"/>
                <w:szCs w:val="20"/>
                <w:lang w:eastAsia="es-CL"/>
              </w:rPr>
              <w:t xml:space="preserve"> y de E2–E4 quedan pendientes. Se agregaron 17 casos complementarios.</w:t>
            </w:r>
          </w:p>
        </w:tc>
      </w:tr>
      <w:tr w:rsidR="00A825C8" w:rsidRPr="006E3B0D" w14:paraId="491C785D" w14:textId="77777777" w:rsidTr="00EA0C09">
        <w:trPr>
          <w:trHeight w:val="2410"/>
        </w:trPr>
        <w:tc>
          <w:tcPr>
            <w:tcW w:w="1328" w:type="dxa"/>
          </w:tcPr>
          <w:p w14:paraId="78A29B89"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Desarrollar el frontend para autenticación y navegación inicial.</w:t>
            </w:r>
          </w:p>
        </w:tc>
        <w:tc>
          <w:tcPr>
            <w:tcW w:w="1077" w:type="dxa"/>
          </w:tcPr>
          <w:p w14:paraId="1135D1E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58C168FF"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0EE5EAB0"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275" w:type="dxa"/>
          </w:tcPr>
          <w:p w14:paraId="2569129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w:t>
            </w:r>
          </w:p>
        </w:tc>
        <w:tc>
          <w:tcPr>
            <w:tcW w:w="1276" w:type="dxa"/>
          </w:tcPr>
          <w:p w14:paraId="4AFA1A1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frontend se comunica con la API en http://localhost:8000 desde el navegador; nunca accede directamente a la base de datos.</w:t>
            </w:r>
          </w:p>
        </w:tc>
        <w:tc>
          <w:tcPr>
            <w:tcW w:w="1418" w:type="dxa"/>
          </w:tcPr>
          <w:p w14:paraId="77C7E741"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Completada para E1: inicio de sesión, sesión persistente, rutas protegidas y cierre de sesión.</w:t>
            </w:r>
          </w:p>
        </w:tc>
        <w:tc>
          <w:tcPr>
            <w:tcW w:w="850" w:type="dxa"/>
          </w:tcPr>
          <w:p w14:paraId="4AFF8EF7"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documentó el frontend como actividad completa.</w:t>
            </w:r>
          </w:p>
        </w:tc>
      </w:tr>
      <w:tr w:rsidR="00A825C8" w:rsidRPr="006E3B0D" w14:paraId="635A9164" w14:textId="77777777" w:rsidTr="00EA0C09">
        <w:trPr>
          <w:trHeight w:val="2410"/>
        </w:trPr>
        <w:tc>
          <w:tcPr>
            <w:tcW w:w="1328" w:type="dxa"/>
          </w:tcPr>
          <w:p w14:paraId="6442716F"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64068D8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E2 Maestros core: mantenedores de productores (con validación de RUT) y de los catálogos de especies, variedades, calidades, tipos de bandeja, sistemas productivos y embalajes. Incluye la tabla de </w:t>
            </w:r>
            <w:r>
              <w:rPr>
                <w:rFonts w:ascii="Calibri" w:hAnsi="Calibri" w:cs="Arial"/>
                <w:i/>
                <w:color w:val="548DD4"/>
                <w:sz w:val="18"/>
                <w:szCs w:val="20"/>
                <w:lang w:eastAsia="es-CL"/>
              </w:rPr>
              <w:lastRenderedPageBreak/>
              <w:t>auditoría (HU21).</w:t>
            </w:r>
          </w:p>
        </w:tc>
        <w:tc>
          <w:tcPr>
            <w:tcW w:w="1276" w:type="dxa"/>
          </w:tcPr>
          <w:p w14:paraId="6A6F9A6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HU07–HU11 y HU21.</w:t>
            </w:r>
          </w:p>
        </w:tc>
        <w:tc>
          <w:tcPr>
            <w:tcW w:w="1276" w:type="dxa"/>
          </w:tcPr>
          <w:p w14:paraId="56843E82" w14:textId="443AF78F"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S9 y S10 de la Carta Gantt (19/10 al 01/11).</w:t>
            </w:r>
          </w:p>
        </w:tc>
        <w:tc>
          <w:tcPr>
            <w:tcW w:w="1275" w:type="dxa"/>
          </w:tcPr>
          <w:p w14:paraId="2A5EE52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158AFB64"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Base para registrar tarjas. Los catálogos se desactivan, no se borran.</w:t>
            </w:r>
          </w:p>
        </w:tc>
        <w:tc>
          <w:tcPr>
            <w:tcW w:w="1418" w:type="dxa"/>
          </w:tcPr>
          <w:p w14:paraId="0FDAF177" w14:textId="33552385"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S9 y S10; comienza el 19/10.</w:t>
            </w:r>
          </w:p>
        </w:tc>
        <w:tc>
          <w:tcPr>
            <w:tcW w:w="850" w:type="dxa"/>
          </w:tcPr>
          <w:p w14:paraId="5D6E164E"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agregaron sistemas productivos y embalajes.</w:t>
            </w:r>
          </w:p>
        </w:tc>
      </w:tr>
      <w:tr w:rsidR="00A825C8" w:rsidRPr="006E3B0D" w14:paraId="3AB977DD" w14:textId="77777777" w:rsidTr="00EA0C09">
        <w:trPr>
          <w:trHeight w:val="2410"/>
        </w:trPr>
        <w:tc>
          <w:tcPr>
            <w:tcW w:w="1328" w:type="dxa"/>
          </w:tcPr>
          <w:p w14:paraId="2488881D"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24DA91C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E3 Recepción de tarjas: registro de la tarja de recepción con numeración automática, cálculo de kilos netos (peso de balanza − bandejas × tara − pallet), entrada de bandejas por productor, impresión, consulta y anulación.</w:t>
            </w:r>
          </w:p>
        </w:tc>
        <w:tc>
          <w:tcPr>
            <w:tcW w:w="1276" w:type="dxa"/>
          </w:tcPr>
          <w:p w14:paraId="7016956B"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SQLAlchemy, Alembic, SQL Server, React. Historias HU12–HU17 y HU24.</w:t>
            </w:r>
          </w:p>
        </w:tc>
        <w:tc>
          <w:tcPr>
            <w:tcW w:w="1276" w:type="dxa"/>
          </w:tcPr>
          <w:p w14:paraId="2D6F10D3" w14:textId="183EACE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S11 y S12 de la Carta Gantt (02/11 al 15/11).</w:t>
            </w:r>
          </w:p>
        </w:tc>
        <w:tc>
          <w:tcPr>
            <w:tcW w:w="1275" w:type="dxa"/>
          </w:tcPr>
          <w:p w14:paraId="18E5384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2CADF76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E2. La tarja es el registro de recepción.</w:t>
            </w:r>
          </w:p>
        </w:tc>
        <w:tc>
          <w:tcPr>
            <w:tcW w:w="1418" w:type="dxa"/>
          </w:tcPr>
          <w:p w14:paraId="28F8256C" w14:textId="65A39682"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S11 y S12.</w:t>
            </w:r>
          </w:p>
        </w:tc>
        <w:tc>
          <w:tcPr>
            <w:tcW w:w="850" w:type="dxa"/>
          </w:tcPr>
          <w:p w14:paraId="52C06A43"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guía y la devolución de bandejas quedan fuera del PMV.</w:t>
            </w:r>
          </w:p>
        </w:tc>
      </w:tr>
      <w:tr w:rsidR="00A825C8" w:rsidRPr="006E3B0D" w14:paraId="40CC19B1" w14:textId="77777777" w:rsidTr="00EA0C09">
        <w:trPr>
          <w:trHeight w:val="2410"/>
        </w:trPr>
        <w:tc>
          <w:tcPr>
            <w:tcW w:w="1328" w:type="dxa"/>
          </w:tcPr>
          <w:p w14:paraId="783825DC" w14:textId="77777777"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Implementar módulos de negocio sobre una base de datos relacional.</w:t>
            </w:r>
          </w:p>
        </w:tc>
        <w:tc>
          <w:tcPr>
            <w:tcW w:w="1077" w:type="dxa"/>
          </w:tcPr>
          <w:p w14:paraId="1D115B3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E4 Procesamiento y auditoría: proceso con folio, embalaje y cajas; consumo parcial de tarjas; cálculo de rendimiento y merma; edición de tarjas con auditoría; anulación de procesos; bitácora y </w:t>
            </w:r>
            <w:r>
              <w:rPr>
                <w:rFonts w:ascii="Calibri" w:hAnsi="Calibri" w:cs="Arial"/>
                <w:i/>
                <w:color w:val="548DD4"/>
                <w:sz w:val="18"/>
                <w:szCs w:val="20"/>
                <w:lang w:eastAsia="es-CL"/>
              </w:rPr>
              <w:lastRenderedPageBreak/>
              <w:t>trazabilidad.</w:t>
            </w:r>
          </w:p>
        </w:tc>
        <w:tc>
          <w:tcPr>
            <w:tcW w:w="1276" w:type="dxa"/>
          </w:tcPr>
          <w:p w14:paraId="3DE41A6D"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lastRenderedPageBreak/>
              <w:t>FastAPI, SQLAlchemy, Alembic, SQL Server, React. Historias HU18–HU23 y HU25.</w:t>
            </w:r>
          </w:p>
        </w:tc>
        <w:tc>
          <w:tcPr>
            <w:tcW w:w="1276" w:type="dxa"/>
          </w:tcPr>
          <w:p w14:paraId="72D6A734" w14:textId="40CADE1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S13 y S14 de la Carta Gantt (16/11 al 29/11).</w:t>
            </w:r>
          </w:p>
        </w:tc>
        <w:tc>
          <w:tcPr>
            <w:tcW w:w="1275" w:type="dxa"/>
          </w:tcPr>
          <w:p w14:paraId="2FD96D67"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276" w:type="dxa"/>
          </w:tcPr>
          <w:p w14:paraId="4346D77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E3.</w:t>
            </w:r>
          </w:p>
        </w:tc>
        <w:tc>
          <w:tcPr>
            <w:tcW w:w="1418" w:type="dxa"/>
          </w:tcPr>
          <w:p w14:paraId="0FC4E246" w14:textId="394A45FC" w:rsidR="00A825C8" w:rsidRPr="00253A89" w:rsidRDefault="00A825C8" w:rsidP="00FD5149">
            <w:pPr>
              <w:jc w:val="both"/>
              <w:rPr>
                <w:rFonts w:ascii="Calibri" w:hAnsi="Calibri" w:cs="Arial"/>
                <w:b/>
                <w:bCs/>
                <w:i/>
                <w:color w:val="548DD4"/>
                <w:sz w:val="18"/>
                <w:szCs w:val="20"/>
                <w:lang w:eastAsia="es-CL"/>
              </w:rPr>
            </w:pPr>
            <w:r>
              <w:rPr>
                <w:rFonts w:ascii="Calibri" w:hAnsi="Calibri" w:cs="Arial"/>
                <w:b/>
                <w:bCs/>
                <w:i/>
                <w:color w:val="548DD4"/>
                <w:sz w:val="18"/>
                <w:szCs w:val="20"/>
                <w:lang w:eastAsia="es-CL"/>
              </w:rPr>
              <w:t>No iniciada. Planificada para las semanas S13 y S14.</w:t>
            </w:r>
          </w:p>
        </w:tc>
        <w:tc>
          <w:tcPr>
            <w:tcW w:w="850" w:type="dxa"/>
          </w:tcPr>
          <w:p w14:paraId="0F295C7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incorporó el consumo parcial de tarjas.</w:t>
            </w:r>
          </w:p>
        </w:tc>
      </w:tr>
    </w:tbl>
    <w:p w14:paraId="71026F71"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3E32AA99" w14:textId="77777777" w:rsidTr="00C5122E">
        <w:trPr>
          <w:trHeight w:val="440"/>
        </w:trPr>
        <w:tc>
          <w:tcPr>
            <w:tcW w:w="9498" w:type="dxa"/>
            <w:vAlign w:val="center"/>
          </w:tcPr>
          <w:p w14:paraId="057A419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5BC450D3" w14:textId="77777777" w:rsidTr="00C5122E">
        <w:trPr>
          <w:trHeight w:val="800"/>
        </w:trPr>
        <w:tc>
          <w:tcPr>
            <w:tcW w:w="9498" w:type="dxa"/>
            <w:shd w:val="clear" w:color="auto" w:fill="D9E2F3" w:themeFill="accent1" w:themeFillTint="33"/>
            <w:vAlign w:val="center"/>
          </w:tcPr>
          <w:p w14:paraId="38C795A3"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155D9AD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097FBD96" w14:textId="77777777" w:rsidTr="00C5122E">
        <w:trPr>
          <w:trHeight w:val="1936"/>
        </w:trPr>
        <w:tc>
          <w:tcPr>
            <w:tcW w:w="5000" w:type="pct"/>
            <w:vAlign w:val="center"/>
          </w:tcPr>
          <w:p w14:paraId="430A5BC3"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facilitado y/o dificultado el desarrollo de mi plan de trabajo</w:t>
            </w:r>
            <w:r>
              <w:rPr>
                <w:rFonts w:ascii="Calibri" w:hAnsi="Calibri" w:cs="Arial"/>
                <w:color w:val="548DD4"/>
                <w:sz w:val="20"/>
                <w:szCs w:val="20"/>
                <w:lang w:eastAsia="es-CL"/>
              </w:rPr>
              <w:t xml:space="preserve">: </w:t>
            </w:r>
          </w:p>
          <w:p w14:paraId="7F6F1503" w14:textId="77777777" w:rsidR="00A825C8" w:rsidRPr="00694AF3" w:rsidRDefault="00A825C8" w:rsidP="00C5122E">
            <w:pPr>
              <w:rPr>
                <w:rFonts w:ascii="Calibri" w:hAnsi="Calibri"/>
                <w:color w:val="0070C0"/>
              </w:rPr>
            </w:pPr>
            <w:r>
              <w:rPr>
                <w:rFonts w:ascii="Calibri" w:hAnsi="Calibri"/>
                <w:b/>
                <w:color w:val="0070C0"/>
              </w:rPr>
              <w:t xml:space="preserve">Facilitaron: </w:t>
            </w:r>
            <w:r>
              <w:rPr>
                <w:rFonts w:ascii="Calibri" w:hAnsi="Calibri"/>
                <w:color w:val="0070C0"/>
              </w:rPr>
              <w:t>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p>
          <w:p w14:paraId="638617BD" w14:textId="77777777" w:rsidR="00A825C8" w:rsidRPr="00694AF3" w:rsidRDefault="00A825C8" w:rsidP="00C5122E">
            <w:pPr>
              <w:rPr>
                <w:rFonts w:ascii="Calibri" w:hAnsi="Calibri"/>
                <w:color w:val="0070C0"/>
              </w:rPr>
            </w:pPr>
            <w:r>
              <w:rPr>
                <w:rFonts w:ascii="Calibri" w:hAnsi="Calibri"/>
                <w:b/>
                <w:color w:val="0070C0"/>
              </w:rPr>
              <w:t xml:space="preserve">Dificultaron: </w:t>
            </w:r>
            <w:r>
              <w:rPr>
                <w:rFonts w:ascii="Calibri" w:hAnsi="Calibri"/>
                <w:color w:val="0070C0"/>
              </w:rPr>
              <w:t>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p>
          <w:p w14:paraId="2A498D0C" w14:textId="77777777" w:rsidR="00A825C8" w:rsidRPr="00694AF3" w:rsidRDefault="00A825C8" w:rsidP="00C5122E">
            <w:pPr>
              <w:rPr>
                <w:rFonts w:ascii="Calibri" w:hAnsi="Calibri"/>
                <w:color w:val="0070C0"/>
              </w:rPr>
            </w:pPr>
            <w:r>
              <w:rPr>
                <w:rFonts w:ascii="Calibri" w:hAnsi="Calibri"/>
                <w:b/>
                <w:color w:val="0070C0"/>
              </w:rPr>
              <w:t xml:space="preserve">Cómo se abordaron: </w:t>
            </w:r>
            <w:r>
              <w:rPr>
                <w:rFonts w:ascii="Calibri" w:hAnsi="Calibri"/>
                <w:color w:val="0070C0"/>
              </w:rPr>
              <w:t>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p>
          <w:p w14:paraId="62B4C19A" w14:textId="77777777" w:rsidR="0003309E" w:rsidRPr="00CD38BD" w:rsidRDefault="0003309E" w:rsidP="00C5122E">
            <w:pPr>
              <w:rPr>
                <w:rFonts w:ascii="Calibri" w:hAnsi="Calibri"/>
                <w:color w:val="1F3864" w:themeColor="accent1" w:themeShade="80"/>
              </w:rPr>
            </w:pPr>
          </w:p>
          <w:p w14:paraId="4B740C48" w14:textId="77777777" w:rsidR="0003309E" w:rsidRDefault="0003309E" w:rsidP="00C5122E">
            <w:pPr>
              <w:jc w:val="both"/>
              <w:rPr>
                <w:rFonts w:ascii="Calibri" w:hAnsi="Calibri" w:cs="Arial"/>
                <w:i/>
                <w:color w:val="548DD4"/>
                <w:sz w:val="20"/>
                <w:szCs w:val="20"/>
                <w:lang w:eastAsia="es-CL"/>
              </w:rPr>
            </w:pPr>
          </w:p>
          <w:p w14:paraId="3E08101B" w14:textId="77777777" w:rsidR="0003309E" w:rsidRDefault="0003309E" w:rsidP="00C5122E">
            <w:pPr>
              <w:jc w:val="both"/>
              <w:rPr>
                <w:rFonts w:ascii="Calibri" w:hAnsi="Calibri" w:cs="Arial"/>
                <w:i/>
                <w:color w:val="548DD4"/>
                <w:sz w:val="20"/>
                <w:szCs w:val="20"/>
                <w:lang w:eastAsia="es-CL"/>
              </w:rPr>
            </w:pPr>
          </w:p>
          <w:p w14:paraId="565EAF81" w14:textId="77777777" w:rsidR="0003309E" w:rsidRPr="00711C16" w:rsidRDefault="0003309E" w:rsidP="00C5122E">
            <w:pPr>
              <w:jc w:val="both"/>
              <w:rPr>
                <w:rFonts w:ascii="Calibri" w:hAnsi="Calibri" w:cs="Arial"/>
                <w:i/>
                <w:color w:val="548DD4"/>
                <w:sz w:val="20"/>
                <w:szCs w:val="20"/>
                <w:lang w:eastAsia="es-CL"/>
              </w:rPr>
            </w:pPr>
          </w:p>
        </w:tc>
      </w:tr>
    </w:tbl>
    <w:p w14:paraId="0498CF2E"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1D8D4DE0" w14:textId="77777777" w:rsidTr="00C5122E">
        <w:trPr>
          <w:trHeight w:val="1936"/>
        </w:trPr>
        <w:tc>
          <w:tcPr>
            <w:tcW w:w="5000" w:type="pct"/>
            <w:vAlign w:val="center"/>
          </w:tcPr>
          <w:p w14:paraId="7550C736" w14:textId="77777777"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36F768F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4C82996E"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lastRenderedPageBreak/>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14:paraId="4944F8A9"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p>
          <w:p w14:paraId="7604543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La guía de recepción que agrupa tarjas, con la devolución de bandejas al productor, y la migración de datos del sistema legado quedan fuera del PMV, como trabajo posterior.</w:t>
            </w:r>
          </w:p>
          <w:p w14:paraId="1F1FC69B"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agregaron la anulación de tarjas de recepción y de procesos (HU24 y HU25), solo para el administrador y sin borrar registros, en reemplazo del borrado físico del legado. Sus Story Points están por estimar.</w:t>
            </w:r>
          </w:p>
          <w:p w14:paraId="21610E44" w14:textId="77777777" w:rsidR="0003309E" w:rsidRDefault="0003309E" w:rsidP="00C5122E">
            <w:pPr>
              <w:jc w:val="both"/>
              <w:rPr>
                <w:rFonts w:ascii="Calibri" w:hAnsi="Calibri" w:cs="Arial"/>
                <w:i/>
                <w:color w:val="548DD4"/>
                <w:sz w:val="20"/>
                <w:szCs w:val="20"/>
                <w:lang w:eastAsia="es-CL"/>
              </w:rPr>
            </w:pPr>
          </w:p>
          <w:p w14:paraId="236D0352" w14:textId="77777777" w:rsidR="00FD5149" w:rsidRPr="00CD38BD" w:rsidRDefault="00FD5149" w:rsidP="00C5122E">
            <w:pPr>
              <w:jc w:val="both"/>
              <w:rPr>
                <w:rFonts w:ascii="Calibri" w:hAnsi="Calibri" w:cs="Arial"/>
                <w:i/>
                <w:color w:val="548DD4"/>
                <w:sz w:val="20"/>
                <w:szCs w:val="20"/>
                <w:lang w:eastAsia="es-CL"/>
              </w:rPr>
            </w:pPr>
          </w:p>
          <w:p w14:paraId="2825389B" w14:textId="77777777" w:rsidR="0003309E" w:rsidRDefault="0003309E" w:rsidP="00C5122E">
            <w:pPr>
              <w:jc w:val="both"/>
              <w:rPr>
                <w:rFonts w:ascii="Calibri" w:hAnsi="Calibri" w:cs="Arial"/>
                <w:i/>
                <w:color w:val="C00000"/>
                <w:sz w:val="20"/>
                <w:szCs w:val="20"/>
                <w:lang w:eastAsia="es-CL"/>
              </w:rPr>
            </w:pPr>
          </w:p>
          <w:p w14:paraId="36F967A7" w14:textId="77777777" w:rsidR="0003309E" w:rsidRDefault="0003309E" w:rsidP="00C5122E">
            <w:pPr>
              <w:jc w:val="both"/>
              <w:rPr>
                <w:rFonts w:ascii="Calibri" w:hAnsi="Calibri" w:cs="Arial"/>
                <w:i/>
                <w:color w:val="548DD4"/>
                <w:sz w:val="20"/>
                <w:szCs w:val="20"/>
                <w:lang w:eastAsia="es-CL"/>
              </w:rPr>
            </w:pPr>
          </w:p>
          <w:p w14:paraId="190A473D" w14:textId="77777777" w:rsidR="0003309E" w:rsidRDefault="0003309E" w:rsidP="00C5122E">
            <w:pPr>
              <w:jc w:val="both"/>
              <w:rPr>
                <w:rFonts w:ascii="Calibri" w:hAnsi="Calibri" w:cs="Arial"/>
                <w:i/>
                <w:color w:val="548DD4"/>
                <w:sz w:val="20"/>
                <w:szCs w:val="20"/>
                <w:lang w:eastAsia="es-CL"/>
              </w:rPr>
            </w:pPr>
          </w:p>
          <w:p w14:paraId="3A5BB345" w14:textId="77777777" w:rsidR="0003309E" w:rsidRDefault="0003309E" w:rsidP="00C5122E">
            <w:pPr>
              <w:jc w:val="both"/>
              <w:rPr>
                <w:rFonts w:ascii="Calibri" w:hAnsi="Calibri" w:cs="Arial"/>
                <w:i/>
                <w:color w:val="548DD4"/>
                <w:sz w:val="20"/>
                <w:szCs w:val="20"/>
                <w:lang w:eastAsia="es-CL"/>
              </w:rPr>
            </w:pPr>
          </w:p>
          <w:p w14:paraId="6AF93C2D" w14:textId="77777777" w:rsidR="00FD5149" w:rsidRDefault="00FD5149" w:rsidP="00C5122E">
            <w:pPr>
              <w:jc w:val="both"/>
              <w:rPr>
                <w:rFonts w:ascii="Calibri" w:hAnsi="Calibri" w:cs="Arial"/>
                <w:i/>
                <w:color w:val="548DD4"/>
                <w:sz w:val="20"/>
                <w:szCs w:val="20"/>
                <w:lang w:eastAsia="es-CL"/>
              </w:rPr>
            </w:pPr>
          </w:p>
          <w:p w14:paraId="76866994" w14:textId="77777777" w:rsidR="0003309E" w:rsidRPr="00711C16" w:rsidRDefault="0003309E" w:rsidP="00C5122E">
            <w:pPr>
              <w:jc w:val="both"/>
              <w:rPr>
                <w:rFonts w:ascii="Calibri" w:hAnsi="Calibri" w:cs="Arial"/>
                <w:i/>
                <w:color w:val="548DD4"/>
                <w:sz w:val="20"/>
                <w:szCs w:val="20"/>
                <w:lang w:eastAsia="es-CL"/>
              </w:rPr>
            </w:pPr>
          </w:p>
        </w:tc>
      </w:tr>
    </w:tbl>
    <w:p w14:paraId="50F14EA2" w14:textId="77777777" w:rsidR="0003309E" w:rsidRDefault="0003309E" w:rsidP="0003309E">
      <w:pPr>
        <w:spacing w:after="0" w:line="240" w:lineRule="auto"/>
        <w:jc w:val="both"/>
        <w:rPr>
          <w:rFonts w:ascii="Calibri" w:hAnsi="Calibri" w:cs="Arial"/>
          <w:i/>
          <w:color w:val="548DD4"/>
          <w:sz w:val="20"/>
          <w:szCs w:val="20"/>
          <w:lang w:eastAsia="es-CL"/>
        </w:rPr>
      </w:pPr>
    </w:p>
    <w:p w14:paraId="546288E6"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713F579" w14:textId="77777777" w:rsidTr="00C5122E">
        <w:trPr>
          <w:trHeight w:val="1966"/>
        </w:trPr>
        <w:tc>
          <w:tcPr>
            <w:tcW w:w="5000" w:type="pct"/>
            <w:vAlign w:val="center"/>
          </w:tcPr>
          <w:p w14:paraId="632AB68B" w14:textId="77777777"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p>
          <w:p w14:paraId="78A9EE46" w14:textId="58C256D0"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No hay actividades retrasadas respecto de la Carta Gantt. La Épica 1 (autenticación, usuarios y control de acceso por rol) se desarrolló entre las semanas S4 y S6 y se cerró el 04/10, antes de lo planificado (S7–S8), en backend y frontend, con un criterio parcial: el menú con opciones por rol de HU01 y HU02, que se completa con las primeras pantallas de E2. Las semanas S7 y S8 se dedicaron a la documentación solicitada por el docente y a la corrección del diseño.</w:t>
            </w:r>
          </w:p>
          <w:p w14:paraId="2A26F655" w14:textId="6CC9BA58"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épicas E2 Maestros core, E3 Recepción de tarjas y E4 Procesamiento y auditoría aún no se inician porque corresponden a las semanas siguientes de la Carta Gantt: E2 en S9 y S10, E3 en S11 y S12, y E4 en S13 y S14.</w:t>
            </w:r>
          </w:p>
          <w:p w14:paraId="33C4DAF2"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Para mantener el ritmo, en E2 a E4 se reutilizará la estructura validada en E1 (modelo y migración, schemas, servicio, router protegido por rol, pruebas y acta), y el diseño de sus tablas ya se ajustó antes de implementarlas.</w:t>
            </w:r>
          </w:p>
          <w:p w14:paraId="22103501" w14:textId="77777777" w:rsidR="00FD5149" w:rsidRDefault="00FD5149" w:rsidP="00585A13">
            <w:pPr>
              <w:jc w:val="both"/>
              <w:rPr>
                <w:rFonts w:ascii="Calibri" w:hAnsi="Calibri" w:cs="Arial"/>
                <w:i/>
                <w:color w:val="548DD4"/>
                <w:sz w:val="20"/>
                <w:szCs w:val="20"/>
                <w:lang w:eastAsia="es-CL"/>
              </w:rPr>
            </w:pPr>
          </w:p>
          <w:p w14:paraId="62CE3EF4" w14:textId="77777777" w:rsidR="00FD5149" w:rsidRPr="00CD38BD" w:rsidRDefault="00FD5149" w:rsidP="00585A13">
            <w:pPr>
              <w:jc w:val="both"/>
              <w:rPr>
                <w:rFonts w:ascii="Calibri" w:hAnsi="Calibri" w:cs="Arial"/>
                <w:i/>
                <w:color w:val="548DD4"/>
                <w:sz w:val="20"/>
                <w:szCs w:val="20"/>
                <w:lang w:eastAsia="es-CL"/>
              </w:rPr>
            </w:pPr>
          </w:p>
          <w:p w14:paraId="1D51FD72" w14:textId="77777777" w:rsidR="0003309E" w:rsidRDefault="0003309E" w:rsidP="00585A13">
            <w:pPr>
              <w:jc w:val="both"/>
              <w:rPr>
                <w:rFonts w:ascii="Calibri" w:hAnsi="Calibri" w:cs="Arial"/>
                <w:i/>
                <w:color w:val="548DD4"/>
                <w:sz w:val="20"/>
                <w:szCs w:val="20"/>
                <w:lang w:eastAsia="es-CL"/>
              </w:rPr>
            </w:pPr>
          </w:p>
          <w:p w14:paraId="6D74B9FB" w14:textId="77777777" w:rsidR="0003309E" w:rsidRDefault="0003309E" w:rsidP="00585A13">
            <w:pPr>
              <w:jc w:val="both"/>
              <w:rPr>
                <w:rFonts w:ascii="Calibri" w:hAnsi="Calibri" w:cs="Arial"/>
                <w:i/>
                <w:color w:val="548DD4"/>
                <w:sz w:val="20"/>
                <w:szCs w:val="20"/>
                <w:lang w:eastAsia="es-CL"/>
              </w:rPr>
            </w:pPr>
          </w:p>
          <w:p w14:paraId="320FBB89" w14:textId="77777777" w:rsidR="0003309E" w:rsidRDefault="0003309E" w:rsidP="00585A13">
            <w:pPr>
              <w:jc w:val="both"/>
              <w:rPr>
                <w:rFonts w:ascii="Calibri" w:hAnsi="Calibri" w:cs="Arial"/>
                <w:i/>
                <w:color w:val="548DD4"/>
                <w:sz w:val="20"/>
                <w:szCs w:val="20"/>
                <w:lang w:eastAsia="es-CL"/>
              </w:rPr>
            </w:pPr>
          </w:p>
          <w:p w14:paraId="209A393C" w14:textId="77777777" w:rsidR="0003309E" w:rsidRDefault="0003309E" w:rsidP="00585A13">
            <w:pPr>
              <w:jc w:val="both"/>
              <w:rPr>
                <w:rFonts w:ascii="Calibri" w:hAnsi="Calibri" w:cs="Arial"/>
                <w:i/>
                <w:color w:val="548DD4"/>
                <w:sz w:val="20"/>
                <w:szCs w:val="20"/>
                <w:lang w:eastAsia="es-CL"/>
              </w:rPr>
            </w:pPr>
          </w:p>
          <w:p w14:paraId="57926AB1" w14:textId="77777777" w:rsidR="0003309E" w:rsidRPr="00711C16" w:rsidRDefault="0003309E" w:rsidP="00585A13">
            <w:pPr>
              <w:jc w:val="both"/>
              <w:rPr>
                <w:rFonts w:ascii="Calibri" w:hAnsi="Calibri" w:cs="Arial"/>
                <w:i/>
                <w:color w:val="548DD4"/>
                <w:sz w:val="20"/>
                <w:szCs w:val="20"/>
                <w:lang w:eastAsia="es-CL"/>
              </w:rPr>
            </w:pPr>
          </w:p>
        </w:tc>
      </w:tr>
    </w:tbl>
    <w:p w14:paraId="43BCEF62"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21338" w14:textId="77777777" w:rsidR="00F379AF" w:rsidRDefault="00F379AF" w:rsidP="0003309E">
      <w:pPr>
        <w:spacing w:after="0" w:line="240" w:lineRule="auto"/>
      </w:pPr>
      <w:r>
        <w:separator/>
      </w:r>
    </w:p>
  </w:endnote>
  <w:endnote w:type="continuationSeparator" w:id="0">
    <w:p w14:paraId="0F4DD4AA" w14:textId="77777777" w:rsidR="00F379AF" w:rsidRDefault="00F379AF"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2CFCA" w14:textId="77777777" w:rsidR="00F379AF" w:rsidRDefault="00F379AF" w:rsidP="0003309E">
      <w:pPr>
        <w:spacing w:after="0" w:line="240" w:lineRule="auto"/>
      </w:pPr>
      <w:r>
        <w:separator/>
      </w:r>
    </w:p>
  </w:footnote>
  <w:footnote w:type="continuationSeparator" w:id="0">
    <w:p w14:paraId="27C2F6DD" w14:textId="77777777" w:rsidR="00F379AF" w:rsidRDefault="00F379AF" w:rsidP="0003309E">
      <w:pPr>
        <w:spacing w:after="0" w:line="240" w:lineRule="auto"/>
      </w:pPr>
      <w:r>
        <w:continuationSeparator/>
      </w:r>
    </w:p>
  </w:footnote>
  <w:footnote w:id="1">
    <w:p w14:paraId="63AD729F"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31278E9F" w14:textId="77777777" w:rsidTr="00C44557">
      <w:trPr>
        <w:trHeight w:val="697"/>
      </w:trPr>
      <w:tc>
        <w:tcPr>
          <w:tcW w:w="5954" w:type="dxa"/>
          <w:tcBorders>
            <w:top w:val="nil"/>
            <w:left w:val="nil"/>
            <w:bottom w:val="nil"/>
            <w:right w:val="nil"/>
          </w:tcBorders>
        </w:tcPr>
        <w:p w14:paraId="13F639C8"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681367F3"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B87BB41"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59733B7"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79F7"/>
    <w:rsid w:val="00065341"/>
    <w:rsid w:val="000A1331"/>
    <w:rsid w:val="00145B36"/>
    <w:rsid w:val="00147283"/>
    <w:rsid w:val="00253A89"/>
    <w:rsid w:val="00255AC5"/>
    <w:rsid w:val="0027648D"/>
    <w:rsid w:val="003608EA"/>
    <w:rsid w:val="00470CE4"/>
    <w:rsid w:val="004B75F6"/>
    <w:rsid w:val="004F4FE2"/>
    <w:rsid w:val="00521026"/>
    <w:rsid w:val="00545F23"/>
    <w:rsid w:val="00553A9D"/>
    <w:rsid w:val="00563B43"/>
    <w:rsid w:val="00586C9C"/>
    <w:rsid w:val="005A0A7C"/>
    <w:rsid w:val="005B4D4A"/>
    <w:rsid w:val="00603474"/>
    <w:rsid w:val="00675035"/>
    <w:rsid w:val="00675A73"/>
    <w:rsid w:val="006858A7"/>
    <w:rsid w:val="00691BC6"/>
    <w:rsid w:val="00694AF3"/>
    <w:rsid w:val="00695E7C"/>
    <w:rsid w:val="006B242E"/>
    <w:rsid w:val="006B6CD5"/>
    <w:rsid w:val="00806DE0"/>
    <w:rsid w:val="0081536B"/>
    <w:rsid w:val="008479F5"/>
    <w:rsid w:val="0085275A"/>
    <w:rsid w:val="008F621F"/>
    <w:rsid w:val="009378F7"/>
    <w:rsid w:val="009552E5"/>
    <w:rsid w:val="009732D5"/>
    <w:rsid w:val="00976ABB"/>
    <w:rsid w:val="00991A39"/>
    <w:rsid w:val="009E52DF"/>
    <w:rsid w:val="00A416D7"/>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A0C09"/>
    <w:rsid w:val="00EC10E2"/>
    <w:rsid w:val="00EE7C1E"/>
    <w:rsid w:val="00F379AF"/>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8272"/>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9</Pages>
  <Words>2303</Words>
  <Characters>12672</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Angelo Stephano Galindo Painequir</cp:lastModifiedBy>
  <cp:revision>9</cp:revision>
  <dcterms:created xsi:type="dcterms:W3CDTF">2022-08-24T18:14:00Z</dcterms:created>
  <dcterms:modified xsi:type="dcterms:W3CDTF">2026-10-17T22:16:00Z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