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A6D1" w14:textId="77777777" w:rsidR="0003309E" w:rsidRDefault="0003309E" w:rsidP="0003309E"/>
    <w:p w14:paraId="41DF96B0"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C6FFD86" w14:textId="77777777" w:rsidR="0003309E" w:rsidRDefault="0003309E" w:rsidP="0003309E">
                              <w:pPr>
                                <w:spacing w:after="0" w:line="240" w:lineRule="auto"/>
                                <w:rPr>
                                  <w:b/>
                                  <w:color w:val="FF0000"/>
                                  <w:sz w:val="48"/>
                                  <w:szCs w:val="48"/>
                                </w:rPr>
                              </w:pPr>
                            </w:p>
                            <w:p w14:paraId="0F5DBC8C"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1A17098C"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C6FFD86" w14:textId="77777777" w:rsidR="0003309E" w:rsidRDefault="0003309E" w:rsidP="0003309E">
                        <w:pPr>
                          <w:spacing w:after="0" w:line="240" w:lineRule="auto"/>
                          <w:rPr>
                            <w:b/>
                            <w:color w:val="FF0000"/>
                            <w:sz w:val="48"/>
                            <w:szCs w:val="48"/>
                          </w:rPr>
                        </w:pPr>
                      </w:p>
                      <w:p w14:paraId="0F5DBC8C"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1A17098C"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39A4B3F5" w14:textId="77777777" w:rsidR="0003309E" w:rsidRDefault="0003309E" w:rsidP="0003309E">
      <w:pPr>
        <w:rPr>
          <w:rFonts w:cs="Calibri Light"/>
          <w:color w:val="595959" w:themeColor="text1" w:themeTint="A6"/>
          <w:sz w:val="24"/>
          <w:szCs w:val="24"/>
          <w:lang w:val="es-ES"/>
        </w:rPr>
      </w:pPr>
    </w:p>
    <w:p w14:paraId="7E98858F" w14:textId="77777777" w:rsidR="0003309E" w:rsidRDefault="0003309E" w:rsidP="0003309E">
      <w:pPr>
        <w:rPr>
          <w:rFonts w:cs="Calibri Light"/>
          <w:color w:val="595959" w:themeColor="text1" w:themeTint="A6"/>
          <w:sz w:val="24"/>
          <w:szCs w:val="24"/>
          <w:lang w:val="es-ES"/>
        </w:rPr>
      </w:pPr>
    </w:p>
    <w:p w14:paraId="3C48AAB2" w14:textId="77777777" w:rsidR="0003309E" w:rsidRDefault="0003309E" w:rsidP="0003309E">
      <w:pPr>
        <w:rPr>
          <w:rFonts w:cs="Calibri Light"/>
          <w:color w:val="595959" w:themeColor="text1" w:themeTint="A6"/>
          <w:sz w:val="24"/>
          <w:szCs w:val="24"/>
          <w:lang w:val="es-ES"/>
        </w:rPr>
      </w:pPr>
    </w:p>
    <w:p w14:paraId="4AC9504C" w14:textId="77777777" w:rsidR="0003309E" w:rsidRDefault="0003309E" w:rsidP="0003309E">
      <w:pPr>
        <w:rPr>
          <w:rFonts w:cs="Calibri Light"/>
          <w:color w:val="595959" w:themeColor="text1" w:themeTint="A6"/>
          <w:sz w:val="24"/>
          <w:szCs w:val="24"/>
          <w:lang w:val="es-ES"/>
        </w:rPr>
      </w:pPr>
    </w:p>
    <w:p w14:paraId="281A4116" w14:textId="77777777" w:rsidR="0003309E" w:rsidRDefault="0003309E" w:rsidP="0003309E">
      <w:pPr>
        <w:rPr>
          <w:rFonts w:cs="Calibri Light"/>
          <w:color w:val="595959" w:themeColor="text1" w:themeTint="A6"/>
          <w:sz w:val="24"/>
          <w:szCs w:val="24"/>
          <w:lang w:val="es-ES"/>
        </w:rPr>
      </w:pPr>
    </w:p>
    <w:p w14:paraId="123FBBCB"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44CBE564" w14:textId="77777777" w:rsidTr="00C5122E">
        <w:trPr>
          <w:trHeight w:val="440"/>
        </w:trPr>
        <w:tc>
          <w:tcPr>
            <w:tcW w:w="9639" w:type="dxa"/>
            <w:vAlign w:val="center"/>
          </w:tcPr>
          <w:p w14:paraId="32140335"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 Resumen avance Proyecto APT</w:t>
            </w:r>
          </w:p>
        </w:tc>
      </w:tr>
      <w:tr w:rsidR="0003309E" w14:paraId="7BD6FCE7" w14:textId="77777777" w:rsidTr="00C5122E">
        <w:trPr>
          <w:trHeight w:val="800"/>
        </w:trPr>
        <w:tc>
          <w:tcPr>
            <w:tcW w:w="9639" w:type="dxa"/>
            <w:shd w:val="clear" w:color="auto" w:fill="D9E2F3" w:themeFill="accent1" w:themeFillTint="33"/>
            <w:vAlign w:val="center"/>
          </w:tcPr>
          <w:p w14:paraId="5D2BFEB3"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01B12EFF" w14:textId="77777777" w:rsidR="0003309E" w:rsidRDefault="0003309E" w:rsidP="0003309E">
      <w:pPr>
        <w:spacing w:after="0" w:line="240" w:lineRule="auto"/>
        <w:rPr>
          <w:rFonts w:cs="Calibri Light"/>
          <w:color w:val="595959" w:themeColor="text1" w:themeTint="A6"/>
          <w:sz w:val="24"/>
          <w:szCs w:val="24"/>
          <w:lang w:val="es-ES"/>
        </w:rPr>
      </w:pPr>
    </w:p>
    <w:p w14:paraId="05649088"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665D48A3" w14:textId="77777777" w:rsidTr="000A1331">
        <w:tc>
          <w:tcPr>
            <w:tcW w:w="2528" w:type="dxa"/>
            <w:vAlign w:val="center"/>
          </w:tcPr>
          <w:p w14:paraId="7E09651B"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 de avance proyecto APT</w:t>
            </w:r>
          </w:p>
        </w:tc>
        <w:tc>
          <w:tcPr>
            <w:tcW w:w="7111" w:type="dxa"/>
          </w:tcPr>
          <w:p w14:paraId="4978BA61" w14:textId="6F72756F"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El proyecto completó la Épica 1: autenticación, usuarios y control de acceso por rol. En el backend se implementaron el inicio de sesión con JWT, la consulta del usuario autenticado, la creación y edición de usuarios (solo para administradores) y la autorización basada en cuatro roles, con contraseñas almacenadas como hash. Se verificó mediante 32 pruebas de aceptación registradas en actas. En el frontend se construyó la pantalla de inicio de sesión en React, con sesión persistente, rutas protegidas y cierre de sesión. Todo el sistema se levanta con Docker (SQL Server, API y frontend), lo que asegura un entorno idéntico para los tres integrantes.</w:t>
            </w:r>
          </w:p>
          <w:p w14:paraId="3792F66D" w14:textId="77777777"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Además, se actualizó el diseño de las épicas E2 a E4 a partir del análisis del esquema y del código fuente del sistema legado: el modelo E-R, el diagrama de clases, los diagramas de secuencia y las historias de usuario reflejan ahora sus reglas de negocio reales (cálculo de kilos, consumo parcial de tarjas, folio de proceso, anulaciones y stock de bandejas).</w:t>
            </w:r>
          </w:p>
          <w:p w14:paraId="1C048F9D" w14:textId="77777777" w:rsidR="0003309E" w:rsidRDefault="009732D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Con esto se cumplen avances de los objetivos específicos de arquitectura en tres capas y de eliminación de las vulnerabilidades del sistema legado (acceso directo a la base y contraseñas sin protección). Se ajustó el alcance a cuatro épicas, como se detalla en Objetivos.</w:t>
            </w:r>
          </w:p>
          <w:p w14:paraId="76062F9B" w14:textId="1E8B64D5" w:rsidR="0003309E" w:rsidRPr="00711C16" w:rsidRDefault="0003309E" w:rsidP="00585A13">
            <w:pPr>
              <w:jc w:val="both"/>
              <w:rPr>
                <w:rFonts w:ascii="Calibri" w:hAnsi="Calibri" w:cs="Arial"/>
                <w:i/>
                <w:color w:val="548DD4"/>
                <w:sz w:val="20"/>
                <w:szCs w:val="20"/>
                <w:lang w:eastAsia="es-CL"/>
              </w:rPr>
            </w:pPr>
          </w:p>
        </w:tc>
      </w:tr>
      <w:tr w:rsidR="0003309E" w14:paraId="0FE5193F" w14:textId="77777777" w:rsidTr="000A1331">
        <w:trPr>
          <w:trHeight w:val="1247"/>
        </w:trPr>
        <w:tc>
          <w:tcPr>
            <w:tcW w:w="2528" w:type="dxa"/>
            <w:vAlign w:val="center"/>
          </w:tcPr>
          <w:p w14:paraId="23B894D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7B31FC93"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Ajuste de alcance.</w:t>
            </w:r>
            <w:r>
              <w:rPr>
                <w:rFonts w:ascii="Calibri" w:hAnsi="Calibri" w:cs="Arial"/>
                <w:b/>
                <w:i/>
                <w:color w:val="548DD4"/>
                <w:sz w:val="20"/>
                <w:szCs w:val="20"/>
                <w:lang w:val="es-419" w:eastAsia="es-CL"/>
              </w:rPr>
              <w:t xml:space="preserve"> Se ratifica el producto mínimo viable de cuatro épicas: E1 Autenticación y control de acceso por rol, E2 Maestros core, E3 Recepción de tarjas y E4 Procesamiento de tarjas y auditoría. Los módulos de bodega, despacho y reportes de gestión, mencionados en la descripción y en los objetivos de la Fase 1, quedan para una fase posterior fuera del periodo académico.</w:t>
            </w:r>
          </w:p>
          <w:p w14:paraId="47B38DC3"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general (ajustado):</w:t>
            </w:r>
            <w:r>
              <w:rPr>
                <w:rFonts w:ascii="Calibri" w:hAnsi="Calibri" w:cs="Arial"/>
                <w:b/>
                <w:i/>
                <w:color w:val="548DD4"/>
                <w:sz w:val="20"/>
                <w:szCs w:val="20"/>
                <w:lang w:val="es-419" w:eastAsia="es-CL"/>
              </w:rPr>
              <w:t xml:space="preserve"> Desarrollar e implementar el sistema de trazabilidad de fruta A2D SM bajo una arquitectura de tres capas (React – FastAPI – Base de datos) y estándares IEEE 830, ISO 9000 y PMI, eliminando las vulnerabilidades de </w:t>
            </w:r>
            <w:r>
              <w:rPr>
                <w:rFonts w:ascii="Calibri" w:hAnsi="Calibri" w:cs="Arial"/>
                <w:b/>
                <w:i/>
                <w:color w:val="548DD4"/>
                <w:sz w:val="20"/>
                <w:szCs w:val="20"/>
                <w:lang w:val="es-419" w:eastAsia="es-CL"/>
              </w:rPr>
              <w:lastRenderedPageBreak/>
              <w:t>seguridad del sistema legado y garantizando la integridad de las operaciones de recepción, procesamiento y auditoría.</w:t>
            </w:r>
          </w:p>
          <w:p w14:paraId="4E523D24"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específico 3 (ajustado):</w:t>
            </w:r>
            <w:r>
              <w:rPr>
                <w:rFonts w:ascii="Calibri" w:hAnsi="Calibri" w:cs="Arial"/>
                <w:b/>
                <w:i/>
                <w:color w:val="548DD4"/>
                <w:sz w:val="20"/>
                <w:szCs w:val="20"/>
                <w:lang w:val="es-419" w:eastAsia="es-CL"/>
              </w:rPr>
              <w:t xml:space="preserve"> Desarrollar la API backend en FastAPI para gestionar las reglas de negocio de recepción de fruta (tarjas, cálculo de kilos y stock de bandejas) y procesamiento (cálculo de rendimiento y merma).</w:t>
            </w:r>
          </w:p>
          <w:p w14:paraId="44007CF9"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i/>
                <w:color w:val="548DD4"/>
                <w:sz w:val="20"/>
                <w:szCs w:val="20"/>
                <w:lang w:val="es-419" w:eastAsia="es-CL"/>
              </w:rPr>
              <w:t>Los demás objetivos específicos se mantienen sin cambios.</w:t>
            </w:r>
          </w:p>
          <w:p w14:paraId="61C72FB3"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Roles del sistema:</w:t>
            </w:r>
            <w:r>
              <w:rPr>
                <w:rFonts w:ascii="Calibri" w:hAnsi="Calibri" w:cs="Arial"/>
                <w:b/>
                <w:i/>
                <w:color w:val="548DD4"/>
                <w:sz w:val="20"/>
                <w:szCs w:val="20"/>
                <w:lang w:val="es-419" w:eastAsia="es-CL"/>
              </w:rPr>
              <w:t xml:space="preserve"> operador de recepción, operador de proceso, administrador y gerencia. No se considera operador de bodega, porque ese módulo queda fuera del alcance.</w:t>
            </w:r>
          </w:p>
          <w:p w14:paraId="317DDEAA"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 xml:space="preserve">Ajuste de diseño (2026-10-04): </w:t>
            </w:r>
            <w:r>
              <w:rPr>
                <w:rFonts w:ascii="Calibri" w:hAnsi="Calibri" w:cs="Arial"/>
                <w:b/>
                <w:i/>
                <w:color w:val="548DD4"/>
                <w:sz w:val="20"/>
                <w:szCs w:val="20"/>
                <w:lang w:val="es-419" w:eastAsia="es-CL"/>
              </w:rPr>
              <w:t>la tarja es el registro de recepción; la guía de recepción que agrupa tarjas (con la devolución de bandejas al productor) y la migración de datos del sistema legado quedan fuera del PMV, como trabajo posterior.</w:t>
            </w:r>
          </w:p>
          <w:p w14:paraId="44D3E42B" w14:textId="77777777" w:rsidR="00C75ACA" w:rsidRPr="00C75ACA" w:rsidRDefault="00C75ACA" w:rsidP="00EC10E2">
            <w:pPr>
              <w:jc w:val="both"/>
              <w:rPr>
                <w:rFonts w:ascii="Calibri" w:hAnsi="Calibri" w:cs="Arial"/>
                <w:b/>
                <w:i/>
                <w:color w:val="548DD4"/>
                <w:sz w:val="20"/>
                <w:szCs w:val="20"/>
                <w:lang w:eastAsia="es-CL"/>
              </w:rPr>
              <w:pPrChange w:id="0" w:author="Claude" w:date="2026-10-04T12:00:00Z">
                <w:pPr>
                  <w:pStyle w:val="Prrafodelista"/>
                  <w:numPr>
                    <w:numId w:val="3"/>
                  </w:numPr>
                  <w:ind w:left="1440" w:hanging="360"/>
                  <w:jc w:val="both"/>
                </w:pPr>
              </w:pPrChange>
            </w:pPr>
          </w:p>
        </w:tc>
      </w:tr>
      <w:tr w:rsidR="0003309E" w14:paraId="0ABF0814" w14:textId="77777777" w:rsidTr="000A1331">
        <w:trPr>
          <w:trHeight w:val="939"/>
        </w:trPr>
        <w:tc>
          <w:tcPr>
            <w:tcW w:w="2528" w:type="dxa"/>
            <w:vAlign w:val="center"/>
          </w:tcPr>
          <w:p w14:paraId="63062E45"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7F2A0998" w14:textId="77777777" w:rsidR="0003309E" w:rsidRPr="00711C16" w:rsidRDefault="00255AC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Se mantiene Scrum con Poker Planning y sprints semanales. Se ajustan los roles del equipo: Alejandro Rodríguez como Project Manager, Angelo Galindo como QA y Diego Carrillo como Analista de base de datos. Los tres siguen participando en el desarrollo.</w:t>
            </w:r>
          </w:p>
        </w:tc>
      </w:tr>
      <w:tr w:rsidR="0003309E" w14:paraId="74238940" w14:textId="77777777" w:rsidTr="000A1331">
        <w:trPr>
          <w:trHeight w:val="2377"/>
        </w:trPr>
        <w:tc>
          <w:tcPr>
            <w:tcW w:w="2528" w:type="dxa"/>
            <w:vAlign w:val="center"/>
          </w:tcPr>
          <w:p w14:paraId="5DA5A47B"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36A3EBE2" w14:textId="5AC661E2" w:rsidR="009732D5" w:rsidRDefault="009732D5" w:rsidP="009732D5">
            <w:pPr>
              <w:jc w:val="both"/>
              <w:rPr>
                <w:rFonts w:ascii="Calibri" w:hAnsi="Calibri" w:cs="Arial"/>
                <w:i/>
                <w:color w:val="548DD4"/>
                <w:sz w:val="20"/>
                <w:szCs w:val="20"/>
                <w:lang w:eastAsia="es-CL"/>
              </w:rPr>
            </w:pPr>
            <w:proofErr w:type="spellStart"/>
            <w:r>
              <w:rPr>
                <w:rFonts w:ascii="Calibri" w:hAnsi="Calibri" w:cs="Arial"/>
                <w:i/>
                <w:color w:val="548DD4"/>
                <w:sz w:val="20"/>
                <w:szCs w:val="20"/>
                <w:lang w:eastAsia="es-CL"/>
              </w:rPr>
              <w:t>Backend</w:t>
            </w:r>
            <w:proofErr w:type="spellEnd"/>
            <w:r>
              <w:rPr>
                <w:rFonts w:ascii="Calibri" w:hAnsi="Calibri" w:cs="Arial"/>
                <w:i/>
                <w:color w:val="548DD4"/>
                <w:sz w:val="20"/>
                <w:szCs w:val="20"/>
                <w:lang w:eastAsia="es-CL"/>
              </w:rPr>
              <w:t xml:space="preserve"> de autenticación operativo: POST /api/v1/auth/login, GET /api/v1/auth/me y gestión de usuarios (GET, POST y PUT /api/v1/auth/usuarios), protegidos por rol.</w:t>
            </w:r>
          </w:p>
          <w:p w14:paraId="499D17D7"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Frontend de inicio de sesión en React (Vite y Tailwind), con sesión persistente, rutas protegidas y cierre de sesión.</w:t>
            </w:r>
          </w:p>
          <w:p w14:paraId="2AA86BAC"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Base de datos SQL Server versionada con Alembic (2 migraciones).</w:t>
            </w:r>
          </w:p>
          <w:p w14:paraId="1A3773C9"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Actas de pruebas: Resultados_Pruebas_E1_2026-10-03.md (15 criterios de aceptación) y Pruebas_Pendientes_E1_2026-10-03.md (17 casos complementarios: edición de usuarios, roles repetidos y rol gerencia), todos aprobados.</w:t>
            </w:r>
          </w:p>
          <w:p w14:paraId="5C61B8BD"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Entorno completo con Docker (docker compose up -d --build) y guía para levantarlo (docs/Como_Levantar_El_Proyecto.md).</w:t>
            </w:r>
          </w:p>
          <w:p w14:paraId="2BF918E2"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Diseño actualizado de E1 a E4 (diagramas/Diagramas_Diseno.md e Historias_de_Usuario.md) y análisis del sistema legado (Analisis_Migracion_Legado_2026-10-04.md).</w:t>
            </w:r>
          </w:p>
          <w:p w14:paraId="0E3C5100" w14:textId="323209D9" w:rsidR="0003309E" w:rsidRPr="00A370C8" w:rsidRDefault="009732D5" w:rsidP="009732D5">
            <w:pPr>
              <w:jc w:val="both"/>
              <w:rPr>
                <w:rFonts w:ascii="Calibri" w:hAnsi="Calibri" w:cs="Arial"/>
                <w:b/>
                <w:i/>
                <w:color w:val="548DD4"/>
                <w:sz w:val="20"/>
                <w:szCs w:val="20"/>
                <w:lang w:eastAsia="es-CL"/>
              </w:rPr>
            </w:pPr>
            <w:r>
              <w:rPr>
                <w:rFonts w:ascii="Calibri" w:hAnsi="Calibri" w:cs="Arial"/>
                <w:b/>
                <w:i/>
                <w:color w:val="548DD4"/>
                <w:sz w:val="20"/>
                <w:szCs w:val="20"/>
                <w:lang w:eastAsia="es-CL"/>
              </w:rPr>
              <w:t>Repositorio del sistema: https://github.com/Alejandroduoc/A2D_SM</w:t>
            </w:r>
          </w:p>
          <w:p w14:paraId="3AFC17A3" w14:textId="09458ABA" w:rsidR="0003309E" w:rsidRPr="00A370C8" w:rsidRDefault="0003309E" w:rsidP="009732D5">
            <w:pPr>
              <w:jc w:val="both"/>
              <w:rPr>
                <w:rFonts w:ascii="Calibri" w:hAnsi="Calibri" w:cs="Arial"/>
                <w:b/>
                <w:i/>
                <w:color w:val="548DD4"/>
                <w:sz w:val="20"/>
                <w:szCs w:val="20"/>
                <w:lang w:eastAsia="es-CL"/>
              </w:rPr>
            </w:pP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6DDA3621" w14:textId="77777777" w:rsidTr="000A1331">
        <w:trPr>
          <w:trHeight w:val="440"/>
        </w:trPr>
        <w:tc>
          <w:tcPr>
            <w:tcW w:w="9640" w:type="dxa"/>
            <w:vAlign w:val="center"/>
          </w:tcPr>
          <w:p w14:paraId="12554F91"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Monitoreo del Plan de Trabajo </w:t>
            </w:r>
          </w:p>
        </w:tc>
      </w:tr>
      <w:tr w:rsidR="00586C9C" w14:paraId="3CAF3108" w14:textId="77777777" w:rsidTr="000A1331">
        <w:trPr>
          <w:trHeight w:val="800"/>
        </w:trPr>
        <w:tc>
          <w:tcPr>
            <w:tcW w:w="9640" w:type="dxa"/>
            <w:shd w:val="clear" w:color="auto" w:fill="D9E2F3" w:themeFill="accent1" w:themeFillTint="33"/>
            <w:vAlign w:val="center"/>
          </w:tcPr>
          <w:p w14:paraId="675B82A0" w14:textId="77777777"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t>Examina cuidadosamente tu plan de trabajo, enfocándote especialmente en la columna de estado de avance y ajustes.</w:t>
            </w:r>
          </w:p>
        </w:tc>
      </w:tr>
    </w:tbl>
    <w:p w14:paraId="27F8D1E1"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991851" w14:textId="77777777" w:rsidTr="00EA0C09">
        <w:trPr>
          <w:trHeight w:val="415"/>
        </w:trPr>
        <w:tc>
          <w:tcPr>
            <w:tcW w:w="9776" w:type="dxa"/>
            <w:gridSpan w:val="8"/>
            <w:vAlign w:val="center"/>
          </w:tcPr>
          <w:p w14:paraId="0F9873A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Plan de Trabajo</w:t>
            </w:r>
          </w:p>
        </w:tc>
      </w:tr>
      <w:tr w:rsidR="00FD5149" w:rsidRPr="006E3B0D" w14:paraId="1AECEEA5" w14:textId="77777777" w:rsidTr="009552E5">
        <w:trPr>
          <w:trHeight w:val="711"/>
        </w:trPr>
        <w:tc>
          <w:tcPr>
            <w:tcW w:w="1328" w:type="dxa"/>
            <w:vAlign w:val="center"/>
          </w:tcPr>
          <w:p w14:paraId="1A46CF0B"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Competencia o unidades de competencias</w:t>
            </w:r>
          </w:p>
        </w:tc>
        <w:tc>
          <w:tcPr>
            <w:tcW w:w="1077" w:type="dxa"/>
            <w:vAlign w:val="center"/>
          </w:tcPr>
          <w:p w14:paraId="298196E3"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276" w:type="dxa"/>
            <w:vAlign w:val="center"/>
          </w:tcPr>
          <w:p w14:paraId="6B865DA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276" w:type="dxa"/>
            <w:vAlign w:val="center"/>
          </w:tcPr>
          <w:p w14:paraId="1CC3ABAF"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275" w:type="dxa"/>
            <w:vAlign w:val="center"/>
          </w:tcPr>
          <w:p w14:paraId="199E0E27"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1276" w:type="dxa"/>
            <w:vAlign w:val="center"/>
          </w:tcPr>
          <w:p w14:paraId="5F919CC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418" w:type="dxa"/>
            <w:vAlign w:val="center"/>
          </w:tcPr>
          <w:p w14:paraId="7038310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850" w:type="dxa"/>
            <w:vAlign w:val="center"/>
          </w:tcPr>
          <w:p w14:paraId="36BD658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FD5149" w:rsidRPr="006E3B0D" w14:paraId="5881A6A6" w14:textId="77777777" w:rsidTr="00EA0C09">
        <w:trPr>
          <w:trHeight w:val="2410"/>
        </w:trPr>
        <w:tc>
          <w:tcPr>
            <w:tcW w:w="1328" w:type="dxa"/>
          </w:tcPr>
          <w:p w14:paraId="0E8BFA6C" w14:textId="77777777" w:rsidR="00FD5149" w:rsidRPr="006E3B0D" w:rsidRDefault="00B231DD" w:rsidP="00FD5149">
            <w:pPr>
              <w:jc w:val="both"/>
              <w:rPr>
                <w:b/>
                <w:sz w:val="18"/>
                <w:szCs w:val="24"/>
              </w:rPr>
            </w:pPr>
            <w:r>
              <w:rPr>
                <w:rFonts w:ascii="Calibri" w:hAnsi="Calibri" w:cs="Arial"/>
                <w:b/>
                <w:bCs/>
                <w:i/>
                <w:color w:val="548DD4"/>
                <w:sz w:val="18"/>
                <w:szCs w:val="20"/>
                <w:lang w:eastAsia="es-CL"/>
              </w:rPr>
              <w:t>Gestionar proyectos informáticos utilizando metodologías ágiles y herramientas de planificación.</w:t>
            </w:r>
          </w:p>
        </w:tc>
        <w:tc>
          <w:tcPr>
            <w:tcW w:w="1077" w:type="dxa"/>
          </w:tcPr>
          <w:p w14:paraId="2B12C9D7"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Planificar el desarrollo mediante épicas, historias de usuario, Story Points y sprints semanales. Mantener el backlog priorizado y registrar los avances del equipo.</w:t>
            </w:r>
          </w:p>
        </w:tc>
        <w:tc>
          <w:tcPr>
            <w:tcW w:w="1276" w:type="dxa"/>
          </w:tcPr>
          <w:p w14:paraId="0AD61753" w14:textId="77777777" w:rsidR="00FD5149" w:rsidRPr="006E3B0D" w:rsidRDefault="00B231DD" w:rsidP="00FD5149">
            <w:pPr>
              <w:jc w:val="both"/>
              <w:rPr>
                <w:b/>
                <w:sz w:val="18"/>
                <w:szCs w:val="24"/>
              </w:rPr>
            </w:pPr>
            <w:r>
              <w:rPr>
                <w:rFonts w:ascii="Calibri" w:hAnsi="Calibri" w:cs="Arial"/>
                <w:i/>
                <w:color w:val="548DD4"/>
                <w:sz w:val="18"/>
                <w:szCs w:val="20"/>
                <w:lang w:eastAsia="es-CL"/>
              </w:rPr>
              <w:t>Scrum, Poker Planning, GitHub, repositorio A2D_SM, documentos de planificación y backlog.</w:t>
            </w:r>
          </w:p>
        </w:tc>
        <w:tc>
          <w:tcPr>
            <w:tcW w:w="1276" w:type="dxa"/>
          </w:tcPr>
          <w:p w14:paraId="524972F0" w14:textId="77777777" w:rsidR="00FD5149" w:rsidRPr="006E3B0D" w:rsidRDefault="00B231DD" w:rsidP="00FD5149">
            <w:pPr>
              <w:jc w:val="both"/>
              <w:rPr>
                <w:b/>
                <w:sz w:val="18"/>
                <w:szCs w:val="24"/>
              </w:rPr>
            </w:pPr>
            <w:r>
              <w:rPr>
                <w:rFonts w:ascii="Calibri" w:hAnsi="Calibri" w:cs="Arial"/>
                <w:i/>
                <w:color w:val="548DD4"/>
                <w:sz w:val="18"/>
                <w:szCs w:val="20"/>
                <w:lang w:eastAsia="es-CL"/>
              </w:rPr>
              <w:t>Durante todo el proyecto. Sprints semanales.</w:t>
            </w:r>
          </w:p>
        </w:tc>
        <w:tc>
          <w:tcPr>
            <w:tcW w:w="1275" w:type="dxa"/>
          </w:tcPr>
          <w:p w14:paraId="66CB4C55"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Project Manager.</w:t>
            </w:r>
          </w:p>
        </w:tc>
        <w:tc>
          <w:tcPr>
            <w:tcW w:w="1276" w:type="dxa"/>
          </w:tcPr>
          <w:p w14:paraId="203C4F58" w14:textId="4EE11106"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backlog contempla cuatro épicas y 25 historias de usuario. Las 23 originales suman 84 Story Points; HU24 y HU25 (anulación de tarjas y de procesos, agregadas el 2026-10-04) están por estimar.</w:t>
            </w:r>
          </w:p>
        </w:tc>
        <w:tc>
          <w:tcPr>
            <w:tcW w:w="1418" w:type="dxa"/>
          </w:tcPr>
          <w:p w14:paraId="44BC9D1D" w14:textId="77777777" w:rsidR="00FD5149" w:rsidRPr="00E54467" w:rsidRDefault="00B231DD" w:rsidP="00FD5149">
            <w:pPr>
              <w:jc w:val="both"/>
              <w:rPr>
                <w:rFonts w:ascii="Calibri" w:hAnsi="Calibri" w:cs="Arial"/>
                <w:i/>
                <w:color w:val="C00000"/>
                <w:sz w:val="16"/>
                <w:szCs w:val="20"/>
                <w:lang w:eastAsia="es-CL"/>
              </w:rPr>
            </w:pPr>
            <w:r>
              <w:rPr>
                <w:rFonts w:ascii="Calibri" w:hAnsi="Calibri" w:cs="Arial"/>
                <w:b/>
                <w:bCs/>
                <w:i/>
                <w:color w:val="548DD4"/>
                <w:sz w:val="18"/>
                <w:szCs w:val="20"/>
                <w:lang w:eastAsia="es-CL"/>
              </w:rPr>
              <w:t>En ejecución.</w:t>
            </w:r>
            <w:r>
              <w:rPr>
                <w:rFonts w:ascii="Calibri" w:hAnsi="Calibri" w:cs="Arial"/>
                <w:i/>
                <w:color w:val="548DD4"/>
                <w:sz w:val="18"/>
                <w:szCs w:val="20"/>
                <w:lang w:eastAsia="es-CL"/>
              </w:rPr>
              <w:t xml:space="preserve"> El backlog, las épicas, las historias de usuario y la planificación de sprints están documentados.</w:t>
            </w:r>
          </w:p>
        </w:tc>
        <w:tc>
          <w:tcPr>
            <w:tcW w:w="850" w:type="dxa"/>
          </w:tcPr>
          <w:p w14:paraId="12E43994"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ajustó el alcance original a cuatro épicas. Se eliminaron bodega, despacho y reportes de gestión del PMV</w:t>
            </w:r>
          </w:p>
        </w:tc>
      </w:tr>
      <w:tr w:rsidR="00B231DD" w:rsidRPr="006E3B0D" w14:paraId="5AD1DF42" w14:textId="77777777" w:rsidTr="00EA0C09">
        <w:trPr>
          <w:trHeight w:val="2410"/>
        </w:trPr>
        <w:tc>
          <w:tcPr>
            <w:tcW w:w="1328" w:type="dxa"/>
          </w:tcPr>
          <w:p w14:paraId="00E31DE1"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soluciones informáticas considerando arquitectura, seguridad y mantenibilidad.</w:t>
            </w:r>
          </w:p>
        </w:tc>
        <w:tc>
          <w:tcPr>
            <w:tcW w:w="1077" w:type="dxa"/>
          </w:tcPr>
          <w:p w14:paraId="23FDDF9C"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Definir la arquitectura de tres capas: frontend, API backend y base de datos. Diseñar los diagramas de casos de uso, modelo E-R, clases, secuencia y componentes.</w:t>
            </w:r>
          </w:p>
        </w:tc>
        <w:tc>
          <w:tcPr>
            <w:tcW w:w="1276" w:type="dxa"/>
          </w:tcPr>
          <w:p w14:paraId="5D783737"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diagramas/Diagramas_Diseno.md, Mermaid, SQLAlchemy, FastAPI, React, SQL Server, Docker.</w:t>
            </w:r>
          </w:p>
        </w:tc>
        <w:tc>
          <w:tcPr>
            <w:tcW w:w="1276" w:type="dxa"/>
          </w:tcPr>
          <w:p w14:paraId="67EB32A0"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1 a 2 semanas, con actualización durante el desarrollo.</w:t>
            </w:r>
          </w:p>
        </w:tc>
        <w:tc>
          <w:tcPr>
            <w:tcW w:w="1275" w:type="dxa"/>
          </w:tcPr>
          <w:p w14:paraId="45020D06" w14:textId="119A8D93"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(diagramas), con revisión del equipo.</w:t>
            </w:r>
          </w:p>
        </w:tc>
        <w:tc>
          <w:tcPr>
            <w:tcW w:w="1276" w:type="dxa"/>
          </w:tcPr>
          <w:p w14:paraId="7ABA8468"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arquitectura establece que ningún cliente se conecta directamente a la base de datos.</w:t>
            </w:r>
          </w:p>
        </w:tc>
        <w:tc>
          <w:tcPr>
            <w:tcW w:w="1418" w:type="dxa"/>
          </w:tcPr>
          <w:p w14:paraId="607672D4" w14:textId="0A7C6581"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Avanzada. La arquitectura y los diagramas están documentados. El 2026-10-04 se actualizaron el modelo E-R, el diagrama de clases, la secuencia de recepción y las historias de usuario con las reglas de negocio obtenidas del sistema legado.</w:t>
            </w:r>
          </w:p>
        </w:tc>
        <w:tc>
          <w:tcPr>
            <w:tcW w:w="850" w:type="dxa"/>
          </w:tcPr>
          <w:p w14:paraId="3B202255" w14:textId="77891ADA"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 ajustaron los roles y se quitaron módulos fuera del alcance. El modelo E-R se rediseñó desde el código del sistema legado (ver </w:t>
            </w:r>
            <w:r>
              <w:rPr>
                <w:rFonts w:ascii="Calibri" w:hAnsi="Calibri" w:cs="Arial"/>
                <w:i/>
                <w:color w:val="548DD4"/>
                <w:sz w:val="18"/>
                <w:szCs w:val="20"/>
                <w:lang w:eastAsia="es-CL"/>
              </w:rPr>
              <w:lastRenderedPageBreak/>
              <w:t>sección 3).</w:t>
            </w:r>
          </w:p>
        </w:tc>
      </w:tr>
      <w:tr w:rsidR="00B231DD" w:rsidRPr="006E3B0D" w14:paraId="2CCF46A8" w14:textId="77777777" w:rsidTr="00EA0C09">
        <w:trPr>
          <w:trHeight w:val="2410"/>
        </w:trPr>
        <w:tc>
          <w:tcPr>
            <w:tcW w:w="1328" w:type="dxa"/>
          </w:tcPr>
          <w:p w14:paraId="406ED2A6"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mecanismos de autenticación y control de acceso.</w:t>
            </w:r>
          </w:p>
        </w:tc>
        <w:tc>
          <w:tcPr>
            <w:tcW w:w="1077" w:type="dxa"/>
          </w:tcPr>
          <w:p w14:paraId="769404D1"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usuarios, roles, login, generación de tokens JWT, hash de contraseñas, consulta del usuario autenticado y autorización por roles.</w:t>
            </w:r>
          </w:p>
        </w:tc>
        <w:tc>
          <w:tcPr>
            <w:tcW w:w="1276" w:type="dxa"/>
          </w:tcPr>
          <w:p w14:paraId="2789AFF3"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Pydantic, python-jose, Passlib, bcrypt, SQLAlchemy, SQL Server, app/core/security.py, app/api/deps.py.</w:t>
            </w:r>
          </w:p>
        </w:tc>
        <w:tc>
          <w:tcPr>
            <w:tcW w:w="1276" w:type="dxa"/>
          </w:tcPr>
          <w:p w14:paraId="682FD803"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1,2 y 3</w:t>
            </w:r>
          </w:p>
        </w:tc>
        <w:tc>
          <w:tcPr>
            <w:tcW w:w="1275" w:type="dxa"/>
          </w:tcPr>
          <w:p w14:paraId="0E7EEA06" w14:textId="0C77C546" w:rsid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(modelo de usuarios y script del administrador), Diego Carrillo (router de autenticación y correcciones), Angelo Galindo (dependencias de autorización).</w:t>
            </w:r>
          </w:p>
        </w:tc>
        <w:tc>
          <w:tcPr>
            <w:tcW w:w="1276" w:type="dxa"/>
          </w:tcPr>
          <w:p w14:paraId="35E4901E"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definieron los roles de operador de recepción, operador de proceso, administrador y gerencia</w:t>
            </w:r>
          </w:p>
        </w:tc>
        <w:tc>
          <w:tcPr>
            <w:tcW w:w="1418" w:type="dxa"/>
          </w:tcPr>
          <w:p w14:paraId="1C79A19F" w14:textId="77777777" w:rsidR="00B231DD"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La API, los modelos, el login, la gestión de usuarios y las dependencias de autorización están implementados y probados.</w:t>
            </w:r>
          </w:p>
        </w:tc>
        <w:tc>
          <w:tcPr>
            <w:tcW w:w="850" w:type="dxa"/>
          </w:tcPr>
          <w:p w14:paraId="013A189F"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reemplazó la definición inicial de “Operador y Administrador” por cuatro roles específicos. Se descartaron productor externo, cliente y operador de bodega.</w:t>
            </w:r>
          </w:p>
        </w:tc>
      </w:tr>
      <w:tr w:rsidR="00253A89" w:rsidRPr="006E3B0D" w14:paraId="73D70447" w14:textId="77777777" w:rsidTr="00EA0C09">
        <w:trPr>
          <w:trHeight w:val="2410"/>
        </w:trPr>
        <w:tc>
          <w:tcPr>
            <w:tcW w:w="1328" w:type="dxa"/>
          </w:tcPr>
          <w:p w14:paraId="26D66C08" w14:textId="77777777" w:rsidR="00253A89"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e implementar la base de datos y sus migraciones.</w:t>
            </w:r>
          </w:p>
        </w:tc>
        <w:tc>
          <w:tcPr>
            <w:tcW w:w="1077" w:type="dxa"/>
          </w:tcPr>
          <w:p w14:paraId="0AFB3B73"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modelo de usuarios y roles, configurar SQL Server, generar la migración inicial y documentar el procedimiento para aplicar futuras migraciones.</w:t>
            </w:r>
          </w:p>
        </w:tc>
        <w:tc>
          <w:tcPr>
            <w:tcW w:w="1276" w:type="dxa"/>
          </w:tcPr>
          <w:p w14:paraId="63246003"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SQL Server 2022, Docker, SQLAlchemy 2.0, Alembic, app/models/usuario.py, migrations/env.py, alembic.ini.</w:t>
            </w:r>
          </w:p>
        </w:tc>
        <w:tc>
          <w:tcPr>
            <w:tcW w:w="1276" w:type="dxa"/>
          </w:tcPr>
          <w:p w14:paraId="05844240"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3DEE434D" w14:textId="63D6EF30"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Diego Carrillo (analista de base de datos), Angelo Galindo (configuración de Alembic y migración inicial), Alejandro Rodríguez (migración del rol gerencia).</w:t>
            </w:r>
          </w:p>
        </w:tc>
        <w:tc>
          <w:tcPr>
            <w:tcW w:w="1276" w:type="dxa"/>
          </w:tcPr>
          <w:p w14:paraId="7898C7B2" w14:textId="2BDAE46D"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migración inicial crea usuarios, usuario_roles y alembic_version. Una segunda migración renombró el rol supervisor a gerencia sin perder datos.</w:t>
            </w:r>
          </w:p>
        </w:tc>
        <w:tc>
          <w:tcPr>
            <w:tcW w:w="1418" w:type="dxa"/>
          </w:tcPr>
          <w:p w14:paraId="1831F8FE" w14:textId="4292E939"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E1. Las dos migraciones están versionadas y se aplican con alembic upgrade head.</w:t>
            </w:r>
          </w:p>
        </w:tc>
        <w:tc>
          <w:tcPr>
            <w:tcW w:w="850" w:type="dxa"/>
          </w:tcPr>
          <w:p w14:paraId="5029EF88"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decidió utilizar SQL Server desde el comienzo y no SQLite. Las nuevas entidades de E2, E3 y E4 se agregarán mediante nuevas migraciones.</w:t>
            </w:r>
          </w:p>
        </w:tc>
      </w:tr>
      <w:tr w:rsidR="00253A89" w:rsidRPr="006E3B0D" w14:paraId="6B692321" w14:textId="77777777" w:rsidTr="00EA0C09">
        <w:trPr>
          <w:trHeight w:val="2410"/>
        </w:trPr>
        <w:tc>
          <w:tcPr>
            <w:tcW w:w="1328" w:type="dxa"/>
          </w:tcPr>
          <w:p w14:paraId="1ACC09C3"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lastRenderedPageBreak/>
              <w:t>Realizar pruebas funcionales, de integración y de seguridad.</w:t>
            </w:r>
          </w:p>
        </w:tc>
        <w:tc>
          <w:tcPr>
            <w:tcW w:w="1077" w:type="dxa"/>
          </w:tcPr>
          <w:p w14:paraId="209F3BF5"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Probar /health, login correcto e incorrecto, usuarios desactivados, roles, creación de usuarios, contraseñas cifradas y respuestas sin password_hash.</w:t>
            </w:r>
          </w:p>
        </w:tc>
        <w:tc>
          <w:tcPr>
            <w:tcW w:w="1276" w:type="dxa"/>
          </w:tcPr>
          <w:p w14:paraId="17CBEFBC"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Docker, FastAPI, pruebas en sistema/backend/tests/, documento Resultados_Pruebas_E1_2026-10-03.md.</w:t>
            </w:r>
          </w:p>
        </w:tc>
        <w:tc>
          <w:tcPr>
            <w:tcW w:w="1276" w:type="dxa"/>
          </w:tcPr>
          <w:p w14:paraId="05B8CEF3" w14:textId="7E83F4EE"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 cierre de cada épica (1 semana).</w:t>
            </w:r>
          </w:p>
        </w:tc>
        <w:tc>
          <w:tcPr>
            <w:tcW w:w="1275" w:type="dxa"/>
          </w:tcPr>
          <w:p w14:paraId="1DE7F6FA" w14:textId="155AEA35"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 (QA).</w:t>
            </w:r>
          </w:p>
        </w:tc>
        <w:tc>
          <w:tcPr>
            <w:tcW w:w="1276" w:type="dxa"/>
          </w:tcPr>
          <w:p w14:paraId="66FA9F39"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Las pruebas deben ejecutarse dentro de Docker para asegurar que sean reproducibles.</w:t>
            </w:r>
          </w:p>
        </w:tc>
        <w:tc>
          <w:tcPr>
            <w:tcW w:w="1418" w:type="dxa"/>
          </w:tcPr>
          <w:p w14:paraId="37BB35B5"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de E1. Se documentaron los criterios HTTP y se verificaron las dependencias de autenticación.</w:t>
            </w:r>
          </w:p>
        </w:tc>
        <w:tc>
          <w:tcPr>
            <w:tcW w:w="850" w:type="dxa"/>
          </w:tcPr>
          <w:p w14:paraId="24083F17" w14:textId="77F14D1B"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Las pruebas del </w:t>
            </w:r>
            <w:proofErr w:type="spellStart"/>
            <w:r>
              <w:rPr>
                <w:rFonts w:ascii="Calibri" w:hAnsi="Calibri" w:cs="Arial"/>
                <w:i/>
                <w:color w:val="548DD4"/>
                <w:sz w:val="18"/>
                <w:szCs w:val="20"/>
                <w:lang w:eastAsia="es-CL"/>
              </w:rPr>
              <w:t>frontend</w:t>
            </w:r>
            <w:proofErr w:type="spellEnd"/>
            <w:r>
              <w:rPr>
                <w:rFonts w:ascii="Calibri" w:hAnsi="Calibri" w:cs="Arial"/>
                <w:i/>
                <w:color w:val="548DD4"/>
                <w:sz w:val="18"/>
                <w:szCs w:val="20"/>
                <w:lang w:eastAsia="es-CL"/>
              </w:rPr>
              <w:t xml:space="preserve"> y de E2–E4 quedan pendientes. Se agregaron 17 casos complementarios.</w:t>
            </w:r>
          </w:p>
        </w:tc>
      </w:tr>
      <w:tr w:rsidR="00A825C8" w:rsidRPr="006E3B0D" w14:paraId="60FA2478" w14:textId="77777777" w:rsidTr="00EA0C09">
        <w:trPr>
          <w:trHeight w:val="2410"/>
        </w:trPr>
        <w:tc>
          <w:tcPr>
            <w:tcW w:w="1328" w:type="dxa"/>
          </w:tcPr>
          <w:p w14:paraId="3B7597A8"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Desarrollar el frontend para autenticación y navegación inicial.</w:t>
            </w:r>
          </w:p>
        </w:tc>
        <w:tc>
          <w:tcPr>
            <w:tcW w:w="1077" w:type="dxa"/>
          </w:tcPr>
          <w:p w14:paraId="2947ECD0"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proyecto React/Vite/Tailwind, pantalla de login, almacenamiento temporal del token, consulta de /auth/me, cierre de sesión y rutas protegidas.</w:t>
            </w:r>
          </w:p>
        </w:tc>
        <w:tc>
          <w:tcPr>
            <w:tcW w:w="1276" w:type="dxa"/>
          </w:tcPr>
          <w:p w14:paraId="4754A6CD"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React, Vite, Tailwind, Axios, React Router, Docker, guía Guia_Frontend_Login_E1_2026-10-03.md.</w:t>
            </w:r>
          </w:p>
        </w:tc>
        <w:tc>
          <w:tcPr>
            <w:tcW w:w="1276" w:type="dxa"/>
          </w:tcPr>
          <w:p w14:paraId="158FEC01"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4D5D9A8F" w14:textId="6C6FD0E6"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w:t>
            </w:r>
          </w:p>
        </w:tc>
        <w:tc>
          <w:tcPr>
            <w:tcW w:w="1276" w:type="dxa"/>
          </w:tcPr>
          <w:p w14:paraId="1AFF42A2" w14:textId="2B8196EA"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frontend se comunica con la API en http://localhost:8000 desde el navegador; nunca accede directamente a la base de datos.</w:t>
            </w:r>
          </w:p>
        </w:tc>
        <w:tc>
          <w:tcPr>
            <w:tcW w:w="1418" w:type="dxa"/>
          </w:tcPr>
          <w:p w14:paraId="4DABFCCB" w14:textId="431CBCA1"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E1: inicio de sesión, sesión persistente, rutas protegidas y cierre de sesión.</w:t>
            </w:r>
          </w:p>
        </w:tc>
        <w:tc>
          <w:tcPr>
            <w:tcW w:w="850" w:type="dxa"/>
          </w:tcPr>
          <w:p w14:paraId="5A0DDD93"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documentó el frontend como actividad completa.</w:t>
            </w:r>
          </w:p>
        </w:tc>
      </w:tr>
      <w:tr w:rsidR="00A825C8" w:rsidRPr="006E3B0D" w14:paraId="1567447F" w14:textId="77777777" w:rsidTr="00EA0C09">
        <w:trPr>
          <w:trHeight w:val="2410"/>
        </w:trPr>
        <w:tc>
          <w:tcPr>
            <w:tcW w:w="1328" w:type="dxa"/>
          </w:tcPr>
          <w:p w14:paraId="77560826"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3A83A3F9"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E2 Maestros core: mantenedores de productores (con validación de RUT) y de los catálogos de especies, variedades, calidades, tipos de bandeja, sistemas productivos y embalajes. Incluye la tabla de </w:t>
            </w:r>
            <w:r>
              <w:rPr>
                <w:rFonts w:ascii="Calibri" w:hAnsi="Calibri" w:cs="Arial"/>
                <w:i/>
                <w:color w:val="548DD4"/>
                <w:sz w:val="18"/>
                <w:szCs w:val="20"/>
                <w:lang w:eastAsia="es-CL"/>
              </w:rPr>
              <w:lastRenderedPageBreak/>
              <w:t>auditoría (HU21).</w:t>
            </w:r>
          </w:p>
        </w:tc>
        <w:tc>
          <w:tcPr>
            <w:tcW w:w="1276" w:type="dxa"/>
          </w:tcPr>
          <w:p w14:paraId="67365F3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FastAPI, SQLAlchemy, Alembic, SQL Server, React. Historias HU07–HU11 y HU21.</w:t>
            </w:r>
          </w:p>
        </w:tc>
        <w:tc>
          <w:tcPr>
            <w:tcW w:w="1276" w:type="dxa"/>
          </w:tcPr>
          <w:p w14:paraId="2BEEF5E7"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Sprints 3 y 4 (2 semanas).</w:t>
            </w:r>
          </w:p>
        </w:tc>
        <w:tc>
          <w:tcPr>
            <w:tcW w:w="1275" w:type="dxa"/>
          </w:tcPr>
          <w:p w14:paraId="095C789C"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3B8BBC68"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Base para registrar tarjas. Los catálogos se desactivan, no se borran.</w:t>
            </w:r>
          </w:p>
        </w:tc>
        <w:tc>
          <w:tcPr>
            <w:tcW w:w="1418" w:type="dxa"/>
          </w:tcPr>
          <w:p w14:paraId="7AC7C369"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los sprints 3 y 4.</w:t>
            </w:r>
          </w:p>
        </w:tc>
        <w:tc>
          <w:tcPr>
            <w:tcW w:w="850" w:type="dxa"/>
          </w:tcPr>
          <w:p w14:paraId="5CA086FB"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agregaron sistemas productivos y embalajes.</w:t>
            </w:r>
          </w:p>
        </w:tc>
      </w:tr>
      <w:tr w:rsidR="00A825C8" w:rsidRPr="006E3B0D" w14:paraId="65D48747" w14:textId="77777777" w:rsidTr="00EA0C09">
        <w:trPr>
          <w:trHeight w:val="2410"/>
        </w:trPr>
        <w:tc>
          <w:tcPr>
            <w:tcW w:w="1328" w:type="dxa"/>
          </w:tcPr>
          <w:p w14:paraId="35BB7289"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7325C6A9"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E3 Recepción de tarjas: registro de la tarja de recepción con numeración automática, cálculo de kilos netos (peso de balanza − bandejas × tara − pallet), entrada de bandejas por productor, impresión, consulta y anulación.</w:t>
            </w:r>
          </w:p>
        </w:tc>
        <w:tc>
          <w:tcPr>
            <w:tcW w:w="1276" w:type="dxa"/>
          </w:tcPr>
          <w:p w14:paraId="0B4339E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SQLAlchemy, Alembic, SQL Server, React. Historias HU12–HU17 y HU24.</w:t>
            </w:r>
          </w:p>
        </w:tc>
        <w:tc>
          <w:tcPr>
            <w:tcW w:w="1276" w:type="dxa"/>
          </w:tcPr>
          <w:p w14:paraId="2D104993"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Sprints 5 y 6 (2 semanas).</w:t>
            </w:r>
          </w:p>
        </w:tc>
        <w:tc>
          <w:tcPr>
            <w:tcW w:w="1275" w:type="dxa"/>
          </w:tcPr>
          <w:p w14:paraId="64E36843"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0323C6B5"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E2. La tarja es el registro de recepción.</w:t>
            </w:r>
          </w:p>
        </w:tc>
        <w:tc>
          <w:tcPr>
            <w:tcW w:w="1418" w:type="dxa"/>
          </w:tcPr>
          <w:p w14:paraId="0E8AC49B"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los sprints 5 y 6.</w:t>
            </w:r>
          </w:p>
        </w:tc>
        <w:tc>
          <w:tcPr>
            <w:tcW w:w="850" w:type="dxa"/>
          </w:tcPr>
          <w:p w14:paraId="7CA52049"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guía y la devolución de bandejas quedan fuera del PMV.</w:t>
            </w:r>
          </w:p>
        </w:tc>
      </w:tr>
      <w:tr w:rsidR="00A825C8" w:rsidRPr="006E3B0D" w14:paraId="02B818E8" w14:textId="77777777" w:rsidTr="00EA0C09">
        <w:trPr>
          <w:trHeight w:val="2410"/>
        </w:trPr>
        <w:tc>
          <w:tcPr>
            <w:tcW w:w="1328" w:type="dxa"/>
          </w:tcPr>
          <w:p w14:paraId="2556AB40"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08F484C7"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E4 Procesamiento y auditoría: proceso con folio, embalaje y cajas; consumo parcial de tarjas; cálculo de rendimiento y merma; edición de tarjas con auditoría; anulación de procesos; bitácora y </w:t>
            </w:r>
            <w:r>
              <w:rPr>
                <w:rFonts w:ascii="Calibri" w:hAnsi="Calibri" w:cs="Arial"/>
                <w:i/>
                <w:color w:val="548DD4"/>
                <w:sz w:val="18"/>
                <w:szCs w:val="20"/>
                <w:lang w:eastAsia="es-CL"/>
              </w:rPr>
              <w:lastRenderedPageBreak/>
              <w:t>trazabilidad.</w:t>
            </w:r>
          </w:p>
        </w:tc>
        <w:tc>
          <w:tcPr>
            <w:tcW w:w="1276" w:type="dxa"/>
          </w:tcPr>
          <w:p w14:paraId="2796878F"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FastAPI, SQLAlchemy, Alembic, SQL Server, React. Historias HU18–HU23 y HU25.</w:t>
            </w:r>
          </w:p>
        </w:tc>
        <w:tc>
          <w:tcPr>
            <w:tcW w:w="1276" w:type="dxa"/>
          </w:tcPr>
          <w:p w14:paraId="54DB3471"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Sprints 7 y 8 (2 semanas).</w:t>
            </w:r>
          </w:p>
        </w:tc>
        <w:tc>
          <w:tcPr>
            <w:tcW w:w="1275" w:type="dxa"/>
          </w:tcPr>
          <w:p w14:paraId="7877B56E"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237829C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E3.</w:t>
            </w:r>
          </w:p>
        </w:tc>
        <w:tc>
          <w:tcPr>
            <w:tcW w:w="1418" w:type="dxa"/>
          </w:tcPr>
          <w:p w14:paraId="53E6C76D"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los sprints 7 y 8.</w:t>
            </w:r>
          </w:p>
        </w:tc>
        <w:tc>
          <w:tcPr>
            <w:tcW w:w="850" w:type="dxa"/>
          </w:tcPr>
          <w:p w14:paraId="577D732B"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incorporó el consumo parcial de tarjas.</w:t>
            </w:r>
          </w:p>
        </w:tc>
      </w:tr>
    </w:tbl>
    <w:p w14:paraId="6BA03F6A"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0D16D059" w14:textId="77777777" w:rsidTr="00C5122E">
        <w:trPr>
          <w:trHeight w:val="440"/>
        </w:trPr>
        <w:tc>
          <w:tcPr>
            <w:tcW w:w="9498" w:type="dxa"/>
            <w:vAlign w:val="center"/>
          </w:tcPr>
          <w:p w14:paraId="7DADBC1E"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22560A82" w14:textId="77777777" w:rsidTr="00C5122E">
        <w:trPr>
          <w:trHeight w:val="800"/>
        </w:trPr>
        <w:tc>
          <w:tcPr>
            <w:tcW w:w="9498" w:type="dxa"/>
            <w:shd w:val="clear" w:color="auto" w:fill="D9E2F3" w:themeFill="accent1" w:themeFillTint="33"/>
            <w:vAlign w:val="center"/>
          </w:tcPr>
          <w:p w14:paraId="3F43AD24" w14:textId="77777777"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59DDDB31"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7247EF1F" w14:textId="77777777" w:rsidTr="00C5122E">
        <w:trPr>
          <w:trHeight w:val="1936"/>
        </w:trPr>
        <w:tc>
          <w:tcPr>
            <w:tcW w:w="5000" w:type="pct"/>
            <w:vAlign w:val="center"/>
          </w:tcPr>
          <w:p w14:paraId="2F2EC8F5"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facilitado y/o dificultado el desarrollo de mi plan de trabajo</w:t>
            </w:r>
            <w:r>
              <w:rPr>
                <w:rFonts w:ascii="Calibri" w:hAnsi="Calibri" w:cs="Arial"/>
                <w:color w:val="548DD4"/>
                <w:sz w:val="20"/>
                <w:szCs w:val="20"/>
                <w:lang w:eastAsia="es-CL"/>
              </w:rPr>
              <w:t xml:space="preserve">: </w:t>
            </w:r>
          </w:p>
          <w:p w14:paraId="30E036E5" w14:textId="04197207" w:rsidR="00A825C8" w:rsidRPr="00694AF3" w:rsidRDefault="00A825C8" w:rsidP="00C5122E">
            <w:pPr>
              <w:rPr>
                <w:rFonts w:ascii="Calibri" w:hAnsi="Calibri"/>
                <w:color w:val="0070C0"/>
              </w:rPr>
            </w:pPr>
            <w:r>
              <w:rPr>
                <w:rFonts w:ascii="Calibri" w:hAnsi="Calibri"/>
                <w:b/>
                <w:color w:val="0070C0"/>
              </w:rPr>
              <w:t xml:space="preserve">Facilitaron: </w:t>
            </w:r>
            <w:r>
              <w:rPr>
                <w:rFonts w:ascii="Calibri" w:hAnsi="Calibri"/>
                <w:color w:val="0070C0"/>
              </w:rPr>
              <w:t>el uso de Docker, que dio un entorno idéntico para los tres integrantes sin instalar Python ni drivers en cada equipo; la metodología ágil con sprints semanales, que permitió avanzar de forma autónoma; y las guías paso a paso y los documentos de avances, que dejaron registro de cada decisión y comando.</w:t>
            </w:r>
          </w:p>
          <w:p w14:paraId="24A6CB81" w14:textId="77777777" w:rsidR="00A825C8" w:rsidRPr="00694AF3" w:rsidRDefault="00A825C8" w:rsidP="00C5122E">
            <w:pPr>
              <w:rPr>
                <w:rFonts w:ascii="Calibri" w:hAnsi="Calibri"/>
                <w:color w:val="0070C0"/>
              </w:rPr>
            </w:pPr>
            <w:r>
              <w:rPr>
                <w:rFonts w:ascii="Calibri" w:hAnsi="Calibri"/>
                <w:b/>
                <w:color w:val="0070C0"/>
              </w:rPr>
              <w:t xml:space="preserve">Dificultaron: </w:t>
            </w:r>
            <w:r>
              <w:rPr>
                <w:rFonts w:ascii="Calibri" w:hAnsi="Calibri"/>
                <w:color w:val="0070C0"/>
              </w:rPr>
              <w:t>coordinar horarios para resolver dudas o retomar tareas postergadas; los errores iniciales del código, que impedían que el backend arrancara; los cambios de alcance y de nombres de roles durante el desarrollo, que obligaron a actualizar código, base de datos y documentos; y las reglas de negocio del sistema legado, que no estaban documentadas y hubo que obtener de su código fuente.</w:t>
            </w:r>
          </w:p>
          <w:p w14:paraId="2DD9E550" w14:textId="77777777" w:rsidR="00A825C8" w:rsidRPr="00694AF3" w:rsidRDefault="00A825C8" w:rsidP="00C5122E">
            <w:pPr>
              <w:rPr>
                <w:rFonts w:ascii="Calibri" w:hAnsi="Calibri"/>
                <w:color w:val="0070C0"/>
              </w:rPr>
            </w:pPr>
            <w:r>
              <w:rPr>
                <w:rFonts w:ascii="Calibri" w:hAnsi="Calibri"/>
                <w:b/>
                <w:color w:val="0070C0"/>
              </w:rPr>
              <w:t xml:space="preserve">Cómo se abordaron: </w:t>
            </w:r>
            <w:r>
              <w:rPr>
                <w:rFonts w:ascii="Calibri" w:hAnsi="Calibri"/>
                <w:color w:val="0070C0"/>
              </w:rPr>
              <w:t>se registraron las decisiones con su fecha y motivo en el repositorio de avances; cada cambio de base de datos se hizo con una migración nueva en lugar de editar las existentes; cada etapa se cerró con un acta de pruebas; y el diseño de E2 a E4 se ajustó antes de implementarlo, tras revisar el código del sistema legado.</w:t>
            </w:r>
          </w:p>
          <w:p w14:paraId="1B3EF28D" w14:textId="77777777" w:rsidR="0003309E" w:rsidRPr="00CD38BD" w:rsidRDefault="0003309E" w:rsidP="00C5122E">
            <w:pPr>
              <w:rPr>
                <w:rFonts w:ascii="Calibri" w:hAnsi="Calibri"/>
                <w:color w:val="1F3864" w:themeColor="accent1" w:themeShade="80"/>
              </w:rPr>
            </w:pPr>
          </w:p>
          <w:p w14:paraId="58EBBF72" w14:textId="77777777" w:rsidR="0003309E" w:rsidRDefault="0003309E" w:rsidP="00C5122E">
            <w:pPr>
              <w:jc w:val="both"/>
              <w:rPr>
                <w:rFonts w:ascii="Calibri" w:hAnsi="Calibri" w:cs="Arial"/>
                <w:i/>
                <w:color w:val="548DD4"/>
                <w:sz w:val="20"/>
                <w:szCs w:val="20"/>
                <w:lang w:eastAsia="es-CL"/>
              </w:rPr>
            </w:pPr>
          </w:p>
          <w:p w14:paraId="671C6967" w14:textId="77777777" w:rsidR="0003309E" w:rsidRDefault="0003309E" w:rsidP="00C5122E">
            <w:pPr>
              <w:jc w:val="both"/>
              <w:rPr>
                <w:rFonts w:ascii="Calibri" w:hAnsi="Calibri" w:cs="Arial"/>
                <w:i/>
                <w:color w:val="548DD4"/>
                <w:sz w:val="20"/>
                <w:szCs w:val="20"/>
                <w:lang w:eastAsia="es-CL"/>
              </w:rPr>
            </w:pPr>
          </w:p>
          <w:p w14:paraId="48049153" w14:textId="77777777" w:rsidR="0003309E" w:rsidRPr="00711C16" w:rsidRDefault="0003309E" w:rsidP="00C5122E">
            <w:pPr>
              <w:jc w:val="both"/>
              <w:rPr>
                <w:rFonts w:ascii="Calibri" w:hAnsi="Calibri" w:cs="Arial"/>
                <w:i/>
                <w:color w:val="548DD4"/>
                <w:sz w:val="20"/>
                <w:szCs w:val="20"/>
                <w:lang w:eastAsia="es-CL"/>
              </w:rPr>
            </w:pPr>
          </w:p>
        </w:tc>
      </w:tr>
    </w:tbl>
    <w:p w14:paraId="4CAD6D86"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3D1651E0" w14:textId="77777777" w:rsidTr="00C5122E">
        <w:trPr>
          <w:trHeight w:val="1936"/>
        </w:trPr>
        <w:tc>
          <w:tcPr>
            <w:tcW w:w="5000" w:type="pct"/>
            <w:vAlign w:val="center"/>
          </w:tcPr>
          <w:p w14:paraId="344F91DC" w14:textId="77777777" w:rsidR="00255AC5"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t>Actividades ajustadas o eliminadas:</w:t>
            </w:r>
          </w:p>
          <w:p w14:paraId="6B9B7924"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eliminaron del alcance los módulos de bodega, despacho y reportes de gestión, para cumplir con las cuatro épicas en el periodo académico.</w:t>
            </w:r>
          </w:p>
          <w:p w14:paraId="46833A36"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lastRenderedPageBreak/>
              <w:t>Se definieron cuatro roles del sistema en lugar de "Operador y Administrador". Se descartaron los roles futuros "Productor externo" y "Cliente", porque un administrador podría asignarlos sin que existieran permisos para ellos. Se agregarán con una migración cuando se necesiten.</w:t>
            </w:r>
          </w:p>
          <w:p w14:paraId="335D0541"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rediseñó el modelo de datos de E2 a E4 a partir del código del sistema legado (2026-10-04): la tarja pasa a ser el registro de recepción; los kilos netos descuentan bandejas y pallet, como en el legado; una tarja puede procesarse en partes; el proceso lleva folio, embalaje y cajas; y se agregan los catálogos de sistemas productivos y embalajes.</w:t>
            </w:r>
          </w:p>
          <w:p w14:paraId="129F6E13"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La guía de recepción que agrupa tarjas, con la devolución de bandejas al productor, y la migración de datos del sistema legado quedan fuera del PMV, como trabajo posterior.</w:t>
            </w:r>
          </w:p>
          <w:p w14:paraId="094E921E"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agregaron la anulación de tarjas de recepción y de procesos (HU24 y HU25), solo para el administrador y sin borrar registros, en reemplazo del borrado físico del legado. Sus Story Points están por estimar.</w:t>
            </w:r>
          </w:p>
          <w:p w14:paraId="264839C1" w14:textId="77777777" w:rsidR="0003309E" w:rsidRDefault="0003309E" w:rsidP="00C5122E">
            <w:pPr>
              <w:jc w:val="both"/>
              <w:rPr>
                <w:rFonts w:ascii="Calibri" w:hAnsi="Calibri" w:cs="Arial"/>
                <w:i/>
                <w:color w:val="548DD4"/>
                <w:sz w:val="20"/>
                <w:szCs w:val="20"/>
                <w:lang w:eastAsia="es-CL"/>
              </w:rPr>
            </w:pPr>
          </w:p>
          <w:p w14:paraId="3BDC6513" w14:textId="77777777" w:rsidR="00FD5149" w:rsidRPr="00CD38BD" w:rsidRDefault="00FD5149" w:rsidP="00C5122E">
            <w:pPr>
              <w:jc w:val="both"/>
              <w:rPr>
                <w:rFonts w:ascii="Calibri" w:hAnsi="Calibri" w:cs="Arial"/>
                <w:i/>
                <w:color w:val="548DD4"/>
                <w:sz w:val="20"/>
                <w:szCs w:val="20"/>
                <w:lang w:eastAsia="es-CL"/>
              </w:rPr>
            </w:pPr>
          </w:p>
          <w:p w14:paraId="111E5A14" w14:textId="77777777" w:rsidR="0003309E" w:rsidRDefault="0003309E" w:rsidP="00C5122E">
            <w:pPr>
              <w:jc w:val="both"/>
              <w:rPr>
                <w:rFonts w:ascii="Calibri" w:hAnsi="Calibri" w:cs="Arial"/>
                <w:i/>
                <w:color w:val="C00000"/>
                <w:sz w:val="20"/>
                <w:szCs w:val="20"/>
                <w:lang w:eastAsia="es-CL"/>
              </w:rPr>
            </w:pPr>
          </w:p>
          <w:p w14:paraId="54727261" w14:textId="77777777" w:rsidR="0003309E" w:rsidRDefault="0003309E" w:rsidP="00C5122E">
            <w:pPr>
              <w:jc w:val="both"/>
              <w:rPr>
                <w:rFonts w:ascii="Calibri" w:hAnsi="Calibri" w:cs="Arial"/>
                <w:i/>
                <w:color w:val="548DD4"/>
                <w:sz w:val="20"/>
                <w:szCs w:val="20"/>
                <w:lang w:eastAsia="es-CL"/>
              </w:rPr>
            </w:pPr>
          </w:p>
          <w:p w14:paraId="459AC728" w14:textId="77777777" w:rsidR="0003309E" w:rsidRDefault="0003309E" w:rsidP="00C5122E">
            <w:pPr>
              <w:jc w:val="both"/>
              <w:rPr>
                <w:rFonts w:ascii="Calibri" w:hAnsi="Calibri" w:cs="Arial"/>
                <w:i/>
                <w:color w:val="548DD4"/>
                <w:sz w:val="20"/>
                <w:szCs w:val="20"/>
                <w:lang w:eastAsia="es-CL"/>
              </w:rPr>
            </w:pPr>
          </w:p>
          <w:p w14:paraId="5DD73427" w14:textId="77777777" w:rsidR="0003309E" w:rsidRDefault="0003309E" w:rsidP="00C5122E">
            <w:pPr>
              <w:jc w:val="both"/>
              <w:rPr>
                <w:rFonts w:ascii="Calibri" w:hAnsi="Calibri" w:cs="Arial"/>
                <w:i/>
                <w:color w:val="548DD4"/>
                <w:sz w:val="20"/>
                <w:szCs w:val="20"/>
                <w:lang w:eastAsia="es-CL"/>
              </w:rPr>
            </w:pPr>
          </w:p>
          <w:p w14:paraId="23F8A837" w14:textId="77777777" w:rsidR="00FD5149" w:rsidRDefault="00FD5149" w:rsidP="00C5122E">
            <w:pPr>
              <w:jc w:val="both"/>
              <w:rPr>
                <w:rFonts w:ascii="Calibri" w:hAnsi="Calibri" w:cs="Arial"/>
                <w:i/>
                <w:color w:val="548DD4"/>
                <w:sz w:val="20"/>
                <w:szCs w:val="20"/>
                <w:lang w:eastAsia="es-CL"/>
              </w:rPr>
            </w:pPr>
          </w:p>
          <w:p w14:paraId="155A1CFA" w14:textId="77777777" w:rsidR="0003309E" w:rsidRPr="00711C16" w:rsidRDefault="0003309E" w:rsidP="00C5122E">
            <w:pPr>
              <w:jc w:val="both"/>
              <w:rPr>
                <w:rFonts w:ascii="Calibri" w:hAnsi="Calibri" w:cs="Arial"/>
                <w:i/>
                <w:color w:val="548DD4"/>
                <w:sz w:val="20"/>
                <w:szCs w:val="20"/>
                <w:lang w:eastAsia="es-CL"/>
              </w:rPr>
            </w:pPr>
          </w:p>
        </w:tc>
      </w:tr>
    </w:tbl>
    <w:p w14:paraId="1C4FDAEA" w14:textId="77777777" w:rsidR="0003309E" w:rsidRDefault="0003309E" w:rsidP="0003309E">
      <w:pPr>
        <w:spacing w:after="0" w:line="240" w:lineRule="auto"/>
        <w:jc w:val="both"/>
        <w:rPr>
          <w:rFonts w:ascii="Calibri" w:hAnsi="Calibri" w:cs="Arial"/>
          <w:i/>
          <w:color w:val="548DD4"/>
          <w:sz w:val="20"/>
          <w:szCs w:val="20"/>
          <w:lang w:eastAsia="es-CL"/>
        </w:rPr>
      </w:pPr>
    </w:p>
    <w:p w14:paraId="3E8E02FF"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537DB6A7" w14:textId="77777777" w:rsidTr="00C5122E">
        <w:trPr>
          <w:trHeight w:val="1966"/>
        </w:trPr>
        <w:tc>
          <w:tcPr>
            <w:tcW w:w="5000" w:type="pct"/>
            <w:vAlign w:val="center"/>
          </w:tcPr>
          <w:p w14:paraId="6915CF1E" w14:textId="7FF6B873" w:rsidR="0003309E" w:rsidRDefault="0003309E" w:rsidP="00585A13">
            <w:pPr>
              <w:jc w:val="both"/>
              <w:rPr>
                <w:rFonts w:ascii="Calibri" w:hAnsi="Calibri" w:cs="Arial"/>
                <w:i/>
                <w:color w:val="548DD4"/>
                <w:sz w:val="20"/>
                <w:szCs w:val="20"/>
                <w:lang w:eastAsia="es-CL"/>
              </w:rPr>
            </w:pPr>
            <w:r>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p>
          <w:p w14:paraId="04B7B3FA"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No hay actividades retrasadas. La Épica 1 (autenticación, usuarios y control de acceso por rol) se cerró dentro del plazo planificado, en backend y frontend.</w:t>
            </w:r>
          </w:p>
          <w:p w14:paraId="16803DE3"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Las épicas E2 Maestros core, E3 Recepción de tarjas y E4 Procesamiento y auditoría aún no se inician porque corresponden a los sprints siguientes: E2 en los sprints 3 y 4, E3 en los 5 y 6, y E4 en los 7 y 8.</w:t>
            </w:r>
          </w:p>
          <w:p w14:paraId="50D2EC8E"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Para mantener el ritmo, en E2 a E4 se reutilizará la estructura validada en E1 (modelo y migración, schemas, servicio, router protegido por rol, pruebas y acta), y el diseño de sus tablas ya se ajustó antes de implementarlas.</w:t>
            </w:r>
          </w:p>
          <w:p w14:paraId="46C9DB2D" w14:textId="77777777" w:rsidR="00FD5149" w:rsidRDefault="00FD5149" w:rsidP="00585A13">
            <w:pPr>
              <w:jc w:val="both"/>
              <w:rPr>
                <w:rFonts w:ascii="Calibri" w:hAnsi="Calibri" w:cs="Arial"/>
                <w:i/>
                <w:color w:val="548DD4"/>
                <w:sz w:val="20"/>
                <w:szCs w:val="20"/>
                <w:lang w:eastAsia="es-CL"/>
              </w:rPr>
            </w:pPr>
          </w:p>
          <w:p w14:paraId="48EA3426" w14:textId="77777777" w:rsidR="00FD5149" w:rsidRPr="00CD38BD" w:rsidRDefault="00FD5149" w:rsidP="00585A13">
            <w:pPr>
              <w:jc w:val="both"/>
              <w:rPr>
                <w:rFonts w:ascii="Calibri" w:hAnsi="Calibri" w:cs="Arial"/>
                <w:i/>
                <w:color w:val="548DD4"/>
                <w:sz w:val="20"/>
                <w:szCs w:val="20"/>
                <w:lang w:eastAsia="es-CL"/>
              </w:rPr>
            </w:pPr>
          </w:p>
          <w:p w14:paraId="5BDF77BC" w14:textId="77777777" w:rsidR="0003309E" w:rsidRDefault="0003309E" w:rsidP="00585A13">
            <w:pPr>
              <w:jc w:val="both"/>
              <w:rPr>
                <w:rFonts w:ascii="Calibri" w:hAnsi="Calibri" w:cs="Arial"/>
                <w:i/>
                <w:color w:val="548DD4"/>
                <w:sz w:val="20"/>
                <w:szCs w:val="20"/>
                <w:lang w:eastAsia="es-CL"/>
              </w:rPr>
            </w:pPr>
          </w:p>
          <w:p w14:paraId="270150A6" w14:textId="77777777" w:rsidR="0003309E" w:rsidRDefault="0003309E" w:rsidP="00585A13">
            <w:pPr>
              <w:jc w:val="both"/>
              <w:rPr>
                <w:rFonts w:ascii="Calibri" w:hAnsi="Calibri" w:cs="Arial"/>
                <w:i/>
                <w:color w:val="548DD4"/>
                <w:sz w:val="20"/>
                <w:szCs w:val="20"/>
                <w:lang w:eastAsia="es-CL"/>
              </w:rPr>
            </w:pPr>
          </w:p>
          <w:p w14:paraId="787FB29D" w14:textId="77777777" w:rsidR="0003309E" w:rsidRDefault="0003309E" w:rsidP="00585A13">
            <w:pPr>
              <w:jc w:val="both"/>
              <w:rPr>
                <w:rFonts w:ascii="Calibri" w:hAnsi="Calibri" w:cs="Arial"/>
                <w:i/>
                <w:color w:val="548DD4"/>
                <w:sz w:val="20"/>
                <w:szCs w:val="20"/>
                <w:lang w:eastAsia="es-CL"/>
              </w:rPr>
            </w:pPr>
          </w:p>
          <w:p w14:paraId="55F427B8" w14:textId="77777777" w:rsidR="0003309E" w:rsidRDefault="0003309E" w:rsidP="00585A13">
            <w:pPr>
              <w:jc w:val="both"/>
              <w:rPr>
                <w:rFonts w:ascii="Calibri" w:hAnsi="Calibri" w:cs="Arial"/>
                <w:i/>
                <w:color w:val="548DD4"/>
                <w:sz w:val="20"/>
                <w:szCs w:val="20"/>
                <w:lang w:eastAsia="es-CL"/>
              </w:rPr>
            </w:pPr>
          </w:p>
          <w:p w14:paraId="12A4B342" w14:textId="77777777" w:rsidR="0003309E" w:rsidRPr="00711C16" w:rsidRDefault="0003309E" w:rsidP="00585A13">
            <w:pPr>
              <w:jc w:val="both"/>
              <w:rPr>
                <w:rFonts w:ascii="Calibri" w:hAnsi="Calibri" w:cs="Arial"/>
                <w:i/>
                <w:color w:val="548DD4"/>
                <w:sz w:val="20"/>
                <w:szCs w:val="20"/>
                <w:lang w:eastAsia="es-CL"/>
              </w:rPr>
            </w:pPr>
          </w:p>
        </w:tc>
      </w:tr>
    </w:tbl>
    <w:p w14:paraId="18D5100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2B102" w14:textId="77777777" w:rsidR="000579F7" w:rsidRDefault="000579F7" w:rsidP="0003309E">
      <w:pPr>
        <w:spacing w:after="0" w:line="240" w:lineRule="auto"/>
      </w:pPr>
      <w:r>
        <w:separator/>
      </w:r>
    </w:p>
  </w:endnote>
  <w:endnote w:type="continuationSeparator" w:id="0">
    <w:p w14:paraId="3EDBC363" w14:textId="77777777" w:rsidR="000579F7" w:rsidRDefault="000579F7"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5509F" w14:textId="77777777" w:rsidR="000579F7" w:rsidRDefault="000579F7" w:rsidP="0003309E">
      <w:pPr>
        <w:spacing w:after="0" w:line="240" w:lineRule="auto"/>
      </w:pPr>
      <w:r>
        <w:separator/>
      </w:r>
    </w:p>
  </w:footnote>
  <w:footnote w:type="continuationSeparator" w:id="0">
    <w:p w14:paraId="0A3197EF" w14:textId="77777777" w:rsidR="000579F7" w:rsidRDefault="000579F7" w:rsidP="0003309E">
      <w:pPr>
        <w:spacing w:after="0" w:line="240" w:lineRule="auto"/>
      </w:pPr>
      <w:r>
        <w:continuationSeparator/>
      </w:r>
    </w:p>
  </w:footnote>
  <w:footnote w:id="1">
    <w:p w14:paraId="50DBE1DF"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7A271552" w14:textId="77777777" w:rsidTr="00C44557">
      <w:trPr>
        <w:trHeight w:val="697"/>
      </w:trPr>
      <w:tc>
        <w:tcPr>
          <w:tcW w:w="5954" w:type="dxa"/>
          <w:tcBorders>
            <w:top w:val="nil"/>
            <w:left w:val="nil"/>
            <w:bottom w:val="nil"/>
            <w:right w:val="nil"/>
          </w:tcBorders>
        </w:tcPr>
        <w:p w14:paraId="0B4729B1"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44171DF4"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45E4EB63"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4869DB42"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C95"/>
    <w:multiLevelType w:val="multilevel"/>
    <w:tmpl w:val="04C6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E326CB"/>
    <w:multiLevelType w:val="hybridMultilevel"/>
    <w:tmpl w:val="FB0A4A58"/>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3" w15:restartNumberingAfterBreak="0">
    <w:nsid w:val="69C73608"/>
    <w:multiLevelType w:val="hybridMultilevel"/>
    <w:tmpl w:val="CFDCC5F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23834104">
    <w:abstractNumId w:val="1"/>
  </w:num>
  <w:num w:numId="2" w16cid:durableId="1570339003">
    <w:abstractNumId w:val="3"/>
  </w:num>
  <w:num w:numId="3" w16cid:durableId="361633764">
    <w:abstractNumId w:val="2"/>
  </w:num>
  <w:num w:numId="4" w16cid:durableId="362752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579F7"/>
    <w:rsid w:val="00065341"/>
    <w:rsid w:val="000A1331"/>
    <w:rsid w:val="00145B36"/>
    <w:rsid w:val="00147283"/>
    <w:rsid w:val="00253A89"/>
    <w:rsid w:val="00255AC5"/>
    <w:rsid w:val="003608EA"/>
    <w:rsid w:val="00470CE4"/>
    <w:rsid w:val="004B75F6"/>
    <w:rsid w:val="00521026"/>
    <w:rsid w:val="00545F23"/>
    <w:rsid w:val="00553A9D"/>
    <w:rsid w:val="00563B43"/>
    <w:rsid w:val="00586C9C"/>
    <w:rsid w:val="005A0A7C"/>
    <w:rsid w:val="005B4D4A"/>
    <w:rsid w:val="00603474"/>
    <w:rsid w:val="00675035"/>
    <w:rsid w:val="00675A73"/>
    <w:rsid w:val="006858A7"/>
    <w:rsid w:val="00694AF3"/>
    <w:rsid w:val="00695E7C"/>
    <w:rsid w:val="006B242E"/>
    <w:rsid w:val="006B6CD5"/>
    <w:rsid w:val="00806DE0"/>
    <w:rsid w:val="0081536B"/>
    <w:rsid w:val="008479F5"/>
    <w:rsid w:val="0085275A"/>
    <w:rsid w:val="008F621F"/>
    <w:rsid w:val="009378F7"/>
    <w:rsid w:val="009552E5"/>
    <w:rsid w:val="009732D5"/>
    <w:rsid w:val="00976ABB"/>
    <w:rsid w:val="009E52DF"/>
    <w:rsid w:val="00A825C8"/>
    <w:rsid w:val="00A92C7E"/>
    <w:rsid w:val="00B231DD"/>
    <w:rsid w:val="00B31361"/>
    <w:rsid w:val="00B4258F"/>
    <w:rsid w:val="00B8164D"/>
    <w:rsid w:val="00BE1024"/>
    <w:rsid w:val="00C10E40"/>
    <w:rsid w:val="00C20F3D"/>
    <w:rsid w:val="00C44557"/>
    <w:rsid w:val="00C5122E"/>
    <w:rsid w:val="00C75ACA"/>
    <w:rsid w:val="00CD4BD0"/>
    <w:rsid w:val="00CE0AA8"/>
    <w:rsid w:val="00D67975"/>
    <w:rsid w:val="00D714E2"/>
    <w:rsid w:val="00DF3386"/>
    <w:rsid w:val="00E07498"/>
    <w:rsid w:val="00E50368"/>
    <w:rsid w:val="00EA0C09"/>
    <w:rsid w:val="00EC10E2"/>
    <w:rsid w:val="00FC4EBF"/>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A1C5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C75A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8</Pages>
  <Words>2188</Words>
  <Characters>12035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Angelo Stephano Galindo Painequir</cp:lastModifiedBy>
  <cp:revision>7</cp:revision>
  <dcterms:created xsi:type="dcterms:W3CDTF">2022-08-24T18:14:00Z</dcterms:created>
  <dcterms:modified xsi:type="dcterms:W3CDTF">2026-10-04T16:33:00Z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