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9CAD54" w14:textId="77777777" w:rsidR="0003309E" w:rsidRDefault="0003309E" w:rsidP="0003309E"/>
    <w:p w14:paraId="71B21EB8"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858A18A" w14:textId="77777777" w:rsidR="0003309E" w:rsidRDefault="0003309E" w:rsidP="0003309E">
                              <w:pPr>
                                <w:spacing w:after="0" w:line="240" w:lineRule="auto"/>
                                <w:rPr>
                                  <w:b/>
                                  <w:color w:val="FF0000"/>
                                  <w:sz w:val="48"/>
                                  <w:szCs w:val="48"/>
                                </w:rPr>
                              </w:pPr>
                            </w:p>
                            <w:p w14:paraId="5B3A0B57"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5CD1EB22"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5858A18A" w14:textId="77777777" w:rsidR="0003309E" w:rsidRDefault="0003309E" w:rsidP="0003309E">
                        <w:pPr>
                          <w:spacing w:after="0" w:line="240" w:lineRule="auto"/>
                          <w:rPr>
                            <w:b/>
                            <w:color w:val="FF0000"/>
                            <w:sz w:val="48"/>
                            <w:szCs w:val="48"/>
                          </w:rPr>
                        </w:pPr>
                      </w:p>
                      <w:p w14:paraId="5B3A0B57" w14:textId="77777777" w:rsidR="00CE0AA8" w:rsidRPr="00231F2A" w:rsidRDefault="00CE0AA8" w:rsidP="00CE0AA8">
                        <w:pPr>
                          <w:spacing w:after="0" w:line="240" w:lineRule="auto"/>
                          <w:rPr>
                            <w:b/>
                            <w:color w:val="1F3864" w:themeColor="accent1" w:themeShade="80"/>
                            <w:sz w:val="48"/>
                            <w:szCs w:val="48"/>
                          </w:rPr>
                        </w:pPr>
                        <w:r>
                          <w:rPr>
                            <w:b/>
                            <w:color w:val="1F3864" w:themeColor="accent1" w:themeShade="80"/>
                            <w:sz w:val="48"/>
                            <w:szCs w:val="48"/>
                          </w:rPr>
                          <w:t xml:space="preserve">Guía2. Desarrollo Proyecto APT </w:t>
                        </w:r>
                      </w:p>
                      <w:p w14:paraId="5CD1EB22" w14:textId="77777777"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Asignatura 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59516351" w14:textId="77777777" w:rsidR="0003309E" w:rsidRDefault="0003309E" w:rsidP="0003309E">
      <w:pPr>
        <w:rPr>
          <w:rFonts w:cs="Calibri Light"/>
          <w:color w:val="595959" w:themeColor="text1" w:themeTint="A6"/>
          <w:sz w:val="24"/>
          <w:szCs w:val="24"/>
          <w:lang w:val="es-ES"/>
        </w:rPr>
      </w:pPr>
    </w:p>
    <w:p w14:paraId="225BF89D" w14:textId="77777777" w:rsidR="0003309E" w:rsidRDefault="0003309E" w:rsidP="0003309E">
      <w:pPr>
        <w:rPr>
          <w:rFonts w:cs="Calibri Light"/>
          <w:color w:val="595959" w:themeColor="text1" w:themeTint="A6"/>
          <w:sz w:val="24"/>
          <w:szCs w:val="24"/>
          <w:lang w:val="es-ES"/>
        </w:rPr>
      </w:pPr>
    </w:p>
    <w:p w14:paraId="3D5D5EE0" w14:textId="77777777" w:rsidR="0003309E" w:rsidRDefault="0003309E" w:rsidP="0003309E">
      <w:pPr>
        <w:rPr>
          <w:rFonts w:cs="Calibri Light"/>
          <w:color w:val="595959" w:themeColor="text1" w:themeTint="A6"/>
          <w:sz w:val="24"/>
          <w:szCs w:val="24"/>
          <w:lang w:val="es-ES"/>
        </w:rPr>
      </w:pPr>
    </w:p>
    <w:p w14:paraId="420D87EC" w14:textId="77777777" w:rsidR="0003309E" w:rsidRDefault="0003309E" w:rsidP="0003309E">
      <w:pPr>
        <w:rPr>
          <w:rFonts w:cs="Calibri Light"/>
          <w:color w:val="595959" w:themeColor="text1" w:themeTint="A6"/>
          <w:sz w:val="24"/>
          <w:szCs w:val="24"/>
          <w:lang w:val="es-ES"/>
        </w:rPr>
      </w:pPr>
    </w:p>
    <w:p w14:paraId="1C244CB1" w14:textId="77777777" w:rsidR="0003309E" w:rsidRDefault="0003309E" w:rsidP="0003309E">
      <w:pPr>
        <w:rPr>
          <w:rFonts w:cs="Calibri Light"/>
          <w:color w:val="595959" w:themeColor="text1" w:themeTint="A6"/>
          <w:sz w:val="24"/>
          <w:szCs w:val="24"/>
          <w:lang w:val="es-ES"/>
        </w:rPr>
      </w:pPr>
    </w:p>
    <w:p w14:paraId="379EE19E"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374CABD8" w14:textId="77777777" w:rsidTr="00C5122E">
        <w:trPr>
          <w:trHeight w:val="440"/>
        </w:trPr>
        <w:tc>
          <w:tcPr>
            <w:tcW w:w="9639" w:type="dxa"/>
            <w:vAlign w:val="center"/>
          </w:tcPr>
          <w:p w14:paraId="65423088" w14:textId="77777777" w:rsidR="0003309E" w:rsidRPr="00BF2EA6" w:rsidRDefault="0003309E" w:rsidP="00C5122E">
            <w:pPr>
              <w:rPr>
                <w:b/>
                <w:color w:val="1F3864" w:themeColor="accent1" w:themeShade="80"/>
                <w:sz w:val="28"/>
                <w:szCs w:val="28"/>
              </w:rPr>
            </w:pPr>
            <w:r>
              <w:rPr>
                <w:b/>
                <w:color w:val="1F3864" w:themeColor="accent1" w:themeShade="80"/>
                <w:sz w:val="28"/>
                <w:szCs w:val="28"/>
              </w:rPr>
              <w:t>1. Resumen avance Proyecto APT</w:t>
            </w:r>
          </w:p>
        </w:tc>
      </w:tr>
      <w:tr w:rsidR="0003309E" w14:paraId="4CA8D377" w14:textId="77777777" w:rsidTr="00C5122E">
        <w:trPr>
          <w:trHeight w:val="800"/>
        </w:trPr>
        <w:tc>
          <w:tcPr>
            <w:tcW w:w="9639" w:type="dxa"/>
            <w:shd w:val="clear" w:color="auto" w:fill="D9E2F3" w:themeFill="accent1" w:themeFillTint="33"/>
            <w:vAlign w:val="center"/>
          </w:tcPr>
          <w:p w14:paraId="13696087" w14:textId="77777777" w:rsidR="0003309E" w:rsidRPr="00DA1615" w:rsidRDefault="0003309E" w:rsidP="00585A13">
            <w:pPr>
              <w:pStyle w:val="Piedepgina"/>
              <w:jc w:val="both"/>
              <w:rPr>
                <w:rFonts w:ascii="Calibri" w:hAnsi="Calibri"/>
                <w:color w:val="1F3864" w:themeColor="accent1" w:themeShade="80"/>
              </w:rPr>
            </w:pPr>
            <w:r>
              <w:rPr>
                <w:rFonts w:ascii="Calibri" w:hAnsi="Calibri"/>
                <w:color w:val="1F3864" w:themeColor="accent1" w:themeShade="80"/>
              </w:rPr>
              <w:t xml:space="preserve">A continuación, encontrarás distintos campos que deberás completar con la información solicitada. </w:t>
            </w:r>
          </w:p>
        </w:tc>
      </w:tr>
    </w:tbl>
    <w:p w14:paraId="03C54D75" w14:textId="77777777" w:rsidR="0003309E" w:rsidRDefault="0003309E" w:rsidP="0003309E">
      <w:pPr>
        <w:spacing w:after="0" w:line="240" w:lineRule="auto"/>
        <w:rPr>
          <w:rFonts w:cs="Calibri Light"/>
          <w:color w:val="595959" w:themeColor="text1" w:themeTint="A6"/>
          <w:sz w:val="24"/>
          <w:szCs w:val="24"/>
          <w:lang w:val="es-ES"/>
        </w:rPr>
      </w:pPr>
    </w:p>
    <w:p w14:paraId="43393115"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A51CBA" w14:textId="77777777" w:rsidTr="000A1331">
        <w:tc>
          <w:tcPr>
            <w:tcW w:w="2528" w:type="dxa"/>
            <w:vAlign w:val="center"/>
          </w:tcPr>
          <w:p w14:paraId="041CD996"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 de avance proyecto APT</w:t>
            </w:r>
          </w:p>
        </w:tc>
        <w:tc>
          <w:tcPr>
            <w:tcW w:w="7111" w:type="dxa"/>
          </w:tcPr>
          <w:p w14:paraId="61D3F2A2" w14:textId="47464AEB"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El proyecto completó la Épica 1: autenticación, usuarios y control de acceso por rol. En el backend se implementaron el inicio de sesión con JWT, la consulta del usuario autenticado, la creación y edición de usuarios (solo para administradores) y la autorización basada en cuatro roles, con contraseñas almacenadas como hash. Se verificó mediante pruebas de aceptación registradas en actas. En el frontend se construyó la pantalla de inicio de sesión en React, con sesión persistente, rutas protegidas y cierre de sesión. Todo el sistema se levanta con Docker (SQL Server, API y frontend), lo que asegura un entorno idéntico para los tres integrantes.</w:t>
            </w:r>
          </w:p>
          <w:p w14:paraId="1B1011F6" w14:textId="77777777" w:rsidR="0003309E" w:rsidRPr="00EC10E2" w:rsidRDefault="009732D5" w:rsidP="00585A13">
            <w:pPr>
              <w:jc w:val="both"/>
              <w:rPr>
                <w:rFonts w:ascii="Calibri" w:hAnsi="Calibri" w:cs="Arial"/>
                <w:i/>
                <w:color w:val="4472C4" w:themeColor="accent1"/>
                <w:sz w:val="20"/>
                <w:szCs w:val="20"/>
                <w:lang w:eastAsia="es-CL"/>
              </w:rPr>
            </w:pPr>
            <w:r w:rsidRPr="00EC10E2">
              <w:rPr>
                <w:rFonts w:ascii="Calibri" w:hAnsi="Calibri" w:cs="Arial"/>
                <w:i/>
                <w:color w:val="4472C4" w:themeColor="accent1"/>
                <w:sz w:val="20"/>
                <w:szCs w:val="20"/>
                <w:lang w:eastAsia="es-CL"/>
              </w:rPr>
              <w:t>Además, se actualizó el diseño de las épicas E2 a E4 a partir del análisis del esquema y del código fuente del sistema legado: el modelo E-R, el diagrama de clases, los diagramas de secuencia y las historias de usuario reflejan ahora sus reglas de negocio reales (cálculo de kilos, consumo parcial de tarjas, folio de proceso, anulaciones y stock de bandejas).</w:t>
            </w:r>
          </w:p>
          <w:p w14:paraId="528DCD6D" w14:textId="77777777" w:rsidR="0003309E" w:rsidRPr="001411E3" w:rsidRDefault="009732D5" w:rsidP="00585A13">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Con esto se cumplen avances de los objetivos específicos de arquitectura en tres capas y de eliminación de las vulnerabilidades del sistema legado (acceso directo a la base y contraseñas sin protección). Se ajustó el alcance a cuatro épicas, como se detalla en Objetivos.</w:t>
            </w:r>
          </w:p>
          <w:p w14:paraId="250EBE3E" w14:textId="77777777" w:rsidR="0003309E" w:rsidRPr="001411E3" w:rsidRDefault="0003309E" w:rsidP="00585A13">
            <w:pPr>
              <w:jc w:val="both"/>
              <w:rPr>
                <w:rFonts w:ascii="Calibri" w:hAnsi="Calibri" w:cs="Arial"/>
                <w:i/>
                <w:color w:val="4472C4" w:themeColor="accent1"/>
                <w:sz w:val="20"/>
                <w:szCs w:val="20"/>
                <w:lang w:eastAsia="es-CL"/>
              </w:rPr>
            </w:pPr>
          </w:p>
        </w:tc>
      </w:tr>
      <w:tr w:rsidR="0003309E" w14:paraId="167B9DDE" w14:textId="77777777" w:rsidTr="000A1331">
        <w:trPr>
          <w:trHeight w:val="1247"/>
        </w:trPr>
        <w:tc>
          <w:tcPr>
            <w:tcW w:w="2528" w:type="dxa"/>
            <w:vAlign w:val="center"/>
          </w:tcPr>
          <w:p w14:paraId="764BDAFE"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Objetivos</w:t>
            </w:r>
          </w:p>
        </w:tc>
        <w:tc>
          <w:tcPr>
            <w:tcW w:w="7111" w:type="dxa"/>
            <w:vAlign w:val="center"/>
          </w:tcPr>
          <w:p w14:paraId="571D30CB" w14:textId="77777777" w:rsidR="00255AC5" w:rsidRPr="001411E3" w:rsidRDefault="00255AC5" w:rsidP="00255AC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Ajuste de alcance. Se ratifica el producto mínimo viable de cuatro épicas: E1 Autenticación y control de acceso por rol, E2 Maestros core, E3 Recepción de tarjas y E4 Procesamiento de tarjas y auditoría. Los módulos de bodega, despacho y reportes de gestión, mencionados en la descripción y en los objetivos de la Fase 1, quedan para una fase posterior fuera del periodo académico.</w:t>
            </w:r>
          </w:p>
          <w:p w14:paraId="15E5B297" w14:textId="77777777" w:rsidR="00255AC5" w:rsidRPr="001411E3" w:rsidRDefault="00255AC5" w:rsidP="00255AC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 xml:space="preserve">Objetivo general (ajustado): Desarrollar e implementar el sistema de trazabilidad de fruta A2D SM bajo una arquitectura de tres capas (React – FastAPI – Base de datos) y estándares IEEE 830, ISO 9000 y PMI, eliminando las vulnerabilidades de seguridad del </w:t>
            </w:r>
            <w:r w:rsidRPr="001411E3">
              <w:rPr>
                <w:rFonts w:ascii="Calibri" w:hAnsi="Calibri" w:cs="Arial"/>
                <w:i/>
                <w:color w:val="4472C4" w:themeColor="accent1"/>
                <w:sz w:val="20"/>
                <w:szCs w:val="20"/>
                <w:lang w:eastAsia="es-CL"/>
              </w:rPr>
              <w:lastRenderedPageBreak/>
              <w:t>sistema legado y garantizando la integridad de las operaciones de recepción, procesamiento y auditoría.</w:t>
            </w:r>
          </w:p>
          <w:p w14:paraId="28011257" w14:textId="77777777" w:rsidR="00255AC5" w:rsidRPr="001411E3" w:rsidRDefault="00255AC5" w:rsidP="00255AC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Objetivo específico 3 (ajustado): Desarrollar la API backend en FastAPI para gestionar las reglas de negocio de recepción de fruta (tarjas, cálculo de kilos y stock de bandejas) y procesamiento (cálculo de rendimiento y merma).</w:t>
            </w:r>
          </w:p>
          <w:p w14:paraId="4C295205" w14:textId="77777777" w:rsidR="00255AC5" w:rsidRPr="001411E3" w:rsidRDefault="00255AC5" w:rsidP="00255AC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Los demás objetivos específicos se mantienen sin cambios.</w:t>
            </w:r>
          </w:p>
          <w:p w14:paraId="683C6F6B" w14:textId="77777777" w:rsidR="00255AC5" w:rsidRPr="001411E3" w:rsidRDefault="00255AC5" w:rsidP="00255AC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Roles del sistema: operador de recepción, operador de proceso, administrador y gerencia. No se considera operador de bodega, porque ese módulo queda fuera del alcance.</w:t>
            </w:r>
          </w:p>
          <w:p w14:paraId="718B4165" w14:textId="77777777" w:rsidR="00255AC5" w:rsidRPr="001411E3" w:rsidRDefault="00255AC5" w:rsidP="00255AC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Ajuste de diseño (2026-10-04): la tarja es el registro de recepción; la guía de recepción que agrupa tarjas (con la devolución de bandejas al productor) y la migración de datos del sistema legado quedan fuera del PMV, como trabajo posterior.</w:t>
            </w:r>
          </w:p>
          <w:p w14:paraId="0658C49E" w14:textId="77777777" w:rsidR="00C75ACA" w:rsidRPr="001411E3" w:rsidRDefault="00C75ACA" w:rsidP="00EC10E2">
            <w:pPr>
              <w:jc w:val="both"/>
              <w:rPr>
                <w:rFonts w:ascii="Calibri" w:hAnsi="Calibri" w:cs="Arial"/>
                <w:i/>
                <w:color w:val="4472C4" w:themeColor="accent1"/>
                <w:sz w:val="20"/>
                <w:szCs w:val="20"/>
                <w:lang w:eastAsia="es-CL"/>
              </w:rPr>
            </w:pPr>
          </w:p>
        </w:tc>
      </w:tr>
      <w:tr w:rsidR="0003309E" w14:paraId="134BBC4F" w14:textId="77777777" w:rsidTr="000A1331">
        <w:trPr>
          <w:trHeight w:val="939"/>
        </w:trPr>
        <w:tc>
          <w:tcPr>
            <w:tcW w:w="2528" w:type="dxa"/>
            <w:vAlign w:val="center"/>
          </w:tcPr>
          <w:p w14:paraId="1F64178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Metodología</w:t>
            </w:r>
          </w:p>
        </w:tc>
        <w:tc>
          <w:tcPr>
            <w:tcW w:w="7111" w:type="dxa"/>
            <w:vAlign w:val="center"/>
          </w:tcPr>
          <w:p w14:paraId="5DE773A0" w14:textId="77777777" w:rsidR="0003309E" w:rsidRPr="001411E3" w:rsidRDefault="00255AC5" w:rsidP="00585A13">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Se mantiene Scrum con Poker Planning y sprints semanales. Se ajustan los roles del equipo: Alejandro Rodríguez como Project Manager, Angelo Galindo como QA y Diego Carrillo como Analista de base de datos. Los tres siguen participando en el desarrollo.</w:t>
            </w:r>
          </w:p>
        </w:tc>
      </w:tr>
      <w:tr w:rsidR="0003309E" w14:paraId="0E2C653C" w14:textId="77777777" w:rsidTr="000A1331">
        <w:trPr>
          <w:trHeight w:val="2377"/>
        </w:trPr>
        <w:tc>
          <w:tcPr>
            <w:tcW w:w="2528" w:type="dxa"/>
            <w:vAlign w:val="center"/>
          </w:tcPr>
          <w:p w14:paraId="5B83EDDA"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Evidencias de avance</w:t>
            </w:r>
          </w:p>
        </w:tc>
        <w:tc>
          <w:tcPr>
            <w:tcW w:w="7111" w:type="dxa"/>
            <w:vAlign w:val="center"/>
          </w:tcPr>
          <w:p w14:paraId="6F48A526" w14:textId="77777777" w:rsidR="00A416D7" w:rsidRPr="001411E3" w:rsidRDefault="00000000">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La evidencia de avance comprometida en la Fase 1 ("Módulos funcionales E1 y E2") se ajustó a la Épica 1 el 17/10/2026, porque la Carta Gantt ubica E2 en las semanas S9 y S10 (19/10 al 01/11); E2 pasa a la evidencia final junto con E3 y E4.</w:t>
            </w:r>
          </w:p>
          <w:p w14:paraId="50F4A4A8" w14:textId="77777777" w:rsidR="009732D5" w:rsidRPr="001411E3" w:rsidRDefault="009732D5" w:rsidP="009732D5">
            <w:pPr>
              <w:jc w:val="both"/>
              <w:rPr>
                <w:rFonts w:ascii="Calibri" w:hAnsi="Calibri" w:cs="Arial"/>
                <w:i/>
                <w:color w:val="4472C4" w:themeColor="accent1"/>
                <w:sz w:val="20"/>
                <w:szCs w:val="20"/>
                <w:lang w:eastAsia="es-CL"/>
              </w:rPr>
            </w:pPr>
            <w:proofErr w:type="spellStart"/>
            <w:r w:rsidRPr="001411E3">
              <w:rPr>
                <w:rFonts w:ascii="Calibri" w:hAnsi="Calibri" w:cs="Arial"/>
                <w:i/>
                <w:color w:val="4472C4" w:themeColor="accent1"/>
                <w:sz w:val="20"/>
                <w:szCs w:val="20"/>
                <w:lang w:eastAsia="es-CL"/>
              </w:rPr>
              <w:t>Backend</w:t>
            </w:r>
            <w:proofErr w:type="spellEnd"/>
            <w:r w:rsidRPr="001411E3">
              <w:rPr>
                <w:rFonts w:ascii="Calibri" w:hAnsi="Calibri" w:cs="Arial"/>
                <w:i/>
                <w:color w:val="4472C4" w:themeColor="accent1"/>
                <w:sz w:val="20"/>
                <w:szCs w:val="20"/>
                <w:lang w:eastAsia="es-CL"/>
              </w:rPr>
              <w:t xml:space="preserve"> de autenticación operativo: POST /api/v1/auth/login, GET /api/v1/auth/me y gestión de usuarios (GET, POST y PUT /api/v1/auth/usuarios), protegidos por rol.</w:t>
            </w:r>
          </w:p>
          <w:p w14:paraId="545D92A1" w14:textId="77777777" w:rsidR="009732D5" w:rsidRPr="001411E3" w:rsidRDefault="009732D5" w:rsidP="009732D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Frontend de inicio de sesión en React (Vite y Tailwind), con sesión persistente, rutas protegidas y cierre de sesión.</w:t>
            </w:r>
          </w:p>
          <w:p w14:paraId="24CEFCE9" w14:textId="77777777" w:rsidR="009732D5" w:rsidRPr="001411E3" w:rsidRDefault="009732D5" w:rsidP="009732D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Base de datos SQL Server versionada con Alembic (2 migraciones).</w:t>
            </w:r>
          </w:p>
          <w:p w14:paraId="33C948FE" w14:textId="40BDB284" w:rsidR="009732D5" w:rsidRPr="001411E3" w:rsidRDefault="009732D5" w:rsidP="009732D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Documento de pruebas en docs/Pruebas/Pruebas.docx del repositorio: 15 pruebas de aceptación HTTP, 14 pruebas automáticas de las dependencias de autorización y 17 pruebas complementarias (edición de usuarios, roles repetidos y rol gerencia), todas aprobadas.</w:t>
            </w:r>
          </w:p>
          <w:p w14:paraId="4C0203A7" w14:textId="77777777" w:rsidR="009732D5" w:rsidRPr="001411E3" w:rsidRDefault="009732D5" w:rsidP="009732D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Entorno completo con Docker (docker compose up -d --build) y guía para levantarlo (docs/Como_Levantar_El_Proyecto.md).</w:t>
            </w:r>
          </w:p>
          <w:p w14:paraId="0452ED2C" w14:textId="4090D777" w:rsidR="009732D5" w:rsidRPr="001411E3" w:rsidRDefault="009732D5" w:rsidP="009732D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Diseño actualizado de E1 a E4 en el Documento 05 (Documento de Diseño) y en el Documento 02 (Product Backlog), a partir del análisis del sistema legado.</w:t>
            </w:r>
          </w:p>
          <w:p w14:paraId="7C6159BE" w14:textId="77777777" w:rsidR="0003309E" w:rsidRPr="001411E3" w:rsidRDefault="009732D5" w:rsidP="009732D5">
            <w:pPr>
              <w:jc w:val="both"/>
              <w:rPr>
                <w:rFonts w:ascii="Calibri" w:hAnsi="Calibri" w:cs="Arial"/>
                <w:i/>
                <w:color w:val="4472C4" w:themeColor="accent1"/>
                <w:sz w:val="20"/>
                <w:szCs w:val="20"/>
                <w:lang w:eastAsia="es-CL"/>
              </w:rPr>
            </w:pPr>
            <w:r w:rsidRPr="001411E3">
              <w:rPr>
                <w:rFonts w:ascii="Calibri" w:hAnsi="Calibri" w:cs="Arial"/>
                <w:i/>
                <w:color w:val="4472C4" w:themeColor="accent1"/>
                <w:sz w:val="20"/>
                <w:szCs w:val="20"/>
                <w:lang w:eastAsia="es-CL"/>
              </w:rPr>
              <w:t>Repositorio del sistema: https://github.com/Alejandroduoc/A2D_SM</w:t>
            </w:r>
          </w:p>
          <w:p w14:paraId="3DBCC708" w14:textId="77777777" w:rsidR="0003309E" w:rsidRPr="001411E3" w:rsidRDefault="0003309E" w:rsidP="009732D5">
            <w:pPr>
              <w:jc w:val="both"/>
              <w:rPr>
                <w:rFonts w:ascii="Calibri" w:hAnsi="Calibri" w:cs="Arial"/>
                <w:i/>
                <w:color w:val="4472C4" w:themeColor="accent1"/>
                <w:sz w:val="20"/>
                <w:szCs w:val="20"/>
                <w:lang w:eastAsia="es-CL"/>
              </w:rPr>
            </w:pP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6F70E928" w14:textId="77777777" w:rsidTr="000A1331">
        <w:trPr>
          <w:trHeight w:val="440"/>
        </w:trPr>
        <w:tc>
          <w:tcPr>
            <w:tcW w:w="9640" w:type="dxa"/>
            <w:vAlign w:val="center"/>
          </w:tcPr>
          <w:p w14:paraId="583474C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 xml:space="preserve">2. Monitoreo del Plan de Trabajo </w:t>
            </w:r>
          </w:p>
        </w:tc>
      </w:tr>
      <w:tr w:rsidR="00586C9C" w14:paraId="724D390C" w14:textId="77777777" w:rsidTr="000A1331">
        <w:trPr>
          <w:trHeight w:val="800"/>
        </w:trPr>
        <w:tc>
          <w:tcPr>
            <w:tcW w:w="9640" w:type="dxa"/>
            <w:shd w:val="clear" w:color="auto" w:fill="D9E2F3" w:themeFill="accent1" w:themeFillTint="33"/>
            <w:vAlign w:val="center"/>
          </w:tcPr>
          <w:p w14:paraId="59AD8ED4" w14:textId="77777777" w:rsidR="00586C9C" w:rsidRPr="00DA1615" w:rsidRDefault="00586C9C" w:rsidP="00D714E2">
            <w:pPr>
              <w:jc w:val="both"/>
              <w:rPr>
                <w:rFonts w:ascii="Calibri" w:hAnsi="Calibri"/>
                <w:color w:val="1F3864" w:themeColor="accent1" w:themeShade="80"/>
              </w:rPr>
            </w:pPr>
            <w:r>
              <w:rPr>
                <w:rFonts w:ascii="Calibri" w:hAnsi="Calibri"/>
                <w:color w:val="1F3864" w:themeColor="accent1" w:themeShade="80"/>
              </w:rPr>
              <w:t>Examina cuidadosamente tu plan de trabajo, enfocándote especialmente en la columna de estado de avance y ajustes.</w:t>
            </w:r>
          </w:p>
        </w:tc>
      </w:tr>
    </w:tbl>
    <w:p w14:paraId="17927FFE"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134"/>
        <w:gridCol w:w="1417"/>
        <w:gridCol w:w="1276"/>
        <w:gridCol w:w="992"/>
      </w:tblGrid>
      <w:tr w:rsidR="00FD5149" w:rsidRPr="006E3B0D" w14:paraId="7032A6F9" w14:textId="77777777" w:rsidTr="00EA0C09">
        <w:trPr>
          <w:trHeight w:val="415"/>
        </w:trPr>
        <w:tc>
          <w:tcPr>
            <w:tcW w:w="9776" w:type="dxa"/>
            <w:gridSpan w:val="8"/>
            <w:vAlign w:val="center"/>
          </w:tcPr>
          <w:p w14:paraId="6A44E5D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Plan de Trabajo</w:t>
            </w:r>
          </w:p>
        </w:tc>
      </w:tr>
      <w:tr w:rsidR="00FD5149" w:rsidRPr="006E3B0D" w14:paraId="17341097" w14:textId="77777777" w:rsidTr="001411E3">
        <w:trPr>
          <w:trHeight w:val="711"/>
        </w:trPr>
        <w:tc>
          <w:tcPr>
            <w:tcW w:w="1328" w:type="dxa"/>
            <w:vAlign w:val="center"/>
          </w:tcPr>
          <w:p w14:paraId="623C82EF"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Competencia o unidades de competencias</w:t>
            </w:r>
          </w:p>
        </w:tc>
        <w:tc>
          <w:tcPr>
            <w:tcW w:w="1077" w:type="dxa"/>
            <w:vAlign w:val="center"/>
          </w:tcPr>
          <w:p w14:paraId="4677FAFE"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Actividades</w:t>
            </w:r>
          </w:p>
        </w:tc>
        <w:tc>
          <w:tcPr>
            <w:tcW w:w="1276" w:type="dxa"/>
            <w:vAlign w:val="center"/>
          </w:tcPr>
          <w:p w14:paraId="03E4B8E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Recursos</w:t>
            </w:r>
          </w:p>
        </w:tc>
        <w:tc>
          <w:tcPr>
            <w:tcW w:w="1276" w:type="dxa"/>
            <w:vAlign w:val="center"/>
          </w:tcPr>
          <w:p w14:paraId="7895DBC4"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Duración de la actividad</w:t>
            </w:r>
          </w:p>
        </w:tc>
        <w:tc>
          <w:tcPr>
            <w:tcW w:w="1134" w:type="dxa"/>
            <w:vAlign w:val="center"/>
          </w:tcPr>
          <w:p w14:paraId="281CDF59"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Responsable</w:t>
            </w:r>
            <w:r>
              <w:rPr>
                <w:rStyle w:val="Refdenotaalpie"/>
                <w:rFonts w:ascii="Calibri" w:hAnsi="Calibri"/>
                <w:color w:val="1F3864" w:themeColor="accent1" w:themeShade="80"/>
                <w:sz w:val="18"/>
              </w:rPr>
              <w:footnoteReference w:id="1"/>
            </w:r>
          </w:p>
        </w:tc>
        <w:tc>
          <w:tcPr>
            <w:tcW w:w="1417" w:type="dxa"/>
            <w:vAlign w:val="center"/>
          </w:tcPr>
          <w:p w14:paraId="76B11798"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Observaciones</w:t>
            </w:r>
          </w:p>
        </w:tc>
        <w:tc>
          <w:tcPr>
            <w:tcW w:w="1276" w:type="dxa"/>
            <w:vAlign w:val="center"/>
          </w:tcPr>
          <w:p w14:paraId="02E32041"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Estado de avance</w:t>
            </w:r>
          </w:p>
        </w:tc>
        <w:tc>
          <w:tcPr>
            <w:tcW w:w="992" w:type="dxa"/>
            <w:vAlign w:val="center"/>
          </w:tcPr>
          <w:p w14:paraId="5E58FECE"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Ajustes</w:t>
            </w:r>
          </w:p>
        </w:tc>
      </w:tr>
      <w:tr w:rsidR="00FD5149" w:rsidRPr="006E3B0D" w14:paraId="0B82E0B5" w14:textId="77777777" w:rsidTr="001411E3">
        <w:trPr>
          <w:trHeight w:val="2410"/>
        </w:trPr>
        <w:tc>
          <w:tcPr>
            <w:tcW w:w="1328" w:type="dxa"/>
          </w:tcPr>
          <w:p w14:paraId="436D1C9D" w14:textId="77777777" w:rsidR="00FD5149" w:rsidRPr="001411E3" w:rsidRDefault="00B231DD"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Gestionar proyectos informáticos utilizando metodologías ágiles y herramientas de planificación.</w:t>
            </w:r>
          </w:p>
        </w:tc>
        <w:tc>
          <w:tcPr>
            <w:tcW w:w="1077" w:type="dxa"/>
          </w:tcPr>
          <w:p w14:paraId="4BEF8FDF"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Planificar el desarrollo mediante épicas, historias de usuario, Story Points y sprints semanales. Mantener el backlog priorizado y registrar los avances del equipo.</w:t>
            </w:r>
          </w:p>
        </w:tc>
        <w:tc>
          <w:tcPr>
            <w:tcW w:w="1276" w:type="dxa"/>
          </w:tcPr>
          <w:p w14:paraId="406F39E0" w14:textId="77777777" w:rsidR="00FD5149" w:rsidRPr="001411E3"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Scrum, Poker Planning, GitHub, repositorio A2D_SM, documentos de planificación y backlog.</w:t>
            </w:r>
          </w:p>
        </w:tc>
        <w:tc>
          <w:tcPr>
            <w:tcW w:w="1276" w:type="dxa"/>
          </w:tcPr>
          <w:p w14:paraId="060C1461" w14:textId="77777777" w:rsidR="00FD5149" w:rsidRPr="001411E3"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Durante todo el proyecto. Sprints semanales.</w:t>
            </w:r>
          </w:p>
        </w:tc>
        <w:tc>
          <w:tcPr>
            <w:tcW w:w="1134" w:type="dxa"/>
          </w:tcPr>
          <w:p w14:paraId="18768417"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Project Manager.</w:t>
            </w:r>
          </w:p>
        </w:tc>
        <w:tc>
          <w:tcPr>
            <w:tcW w:w="1417" w:type="dxa"/>
          </w:tcPr>
          <w:p w14:paraId="15B61856"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backlog contempla cuatro épicas y 25 historias de usuario. Las 23 originales suman 84 Story Points; HU24 y HU25 (anulación de tarjas y de procesos, agregadas el 2026-10-04) están por estimar.</w:t>
            </w:r>
          </w:p>
        </w:tc>
        <w:tc>
          <w:tcPr>
            <w:tcW w:w="1276" w:type="dxa"/>
          </w:tcPr>
          <w:p w14:paraId="05D054A4" w14:textId="77777777" w:rsidR="00FD5149" w:rsidRPr="001411E3" w:rsidRDefault="00B231DD"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En ejecución.</w:t>
            </w:r>
            <w:r>
              <w:rPr>
                <w:rFonts w:ascii="Calibri" w:hAnsi="Calibri" w:cs="Arial"/>
                <w:i/>
                <w:color w:val="548DD4"/>
                <w:sz w:val="18"/>
                <w:szCs w:val="20"/>
                <w:lang w:eastAsia="es-CL"/>
              </w:rPr>
              <w:t xml:space="preserve"> El backlog, las épicas, las historias de usuario y la planificación de sprints están documentados.</w:t>
            </w:r>
          </w:p>
        </w:tc>
        <w:tc>
          <w:tcPr>
            <w:tcW w:w="992" w:type="dxa"/>
          </w:tcPr>
          <w:p w14:paraId="244BD04D" w14:textId="77777777" w:rsidR="00FD5149" w:rsidRPr="006E3B0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ajustó el alcance original a cuatro épicas. Se eliminaron bodega, despacho y reportes de gestión del PMV</w:t>
            </w:r>
          </w:p>
        </w:tc>
      </w:tr>
      <w:tr w:rsidR="00B231DD" w:rsidRPr="006E3B0D" w14:paraId="7F1E9B36" w14:textId="77777777" w:rsidTr="001411E3">
        <w:trPr>
          <w:trHeight w:val="2410"/>
        </w:trPr>
        <w:tc>
          <w:tcPr>
            <w:tcW w:w="1328" w:type="dxa"/>
          </w:tcPr>
          <w:p w14:paraId="36F34537" w14:textId="77777777" w:rsidR="00B231DD" w:rsidRPr="001411E3" w:rsidRDefault="00B231DD"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Diseñar soluciones informáticas considerando arquitectura, seguridad y mantenibilidad.</w:t>
            </w:r>
          </w:p>
        </w:tc>
        <w:tc>
          <w:tcPr>
            <w:tcW w:w="1077" w:type="dxa"/>
          </w:tcPr>
          <w:p w14:paraId="2DB31112"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Definir la arquitectura de tres capas: frontend, API backend y base de datos. Diseñar los diagramas de casos de uso, modelo E-R, clases, secuencia y componentes.</w:t>
            </w:r>
          </w:p>
        </w:tc>
        <w:tc>
          <w:tcPr>
            <w:tcW w:w="1276" w:type="dxa"/>
          </w:tcPr>
          <w:p w14:paraId="49A29AF5"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diagramas/Diagramas_Diseno.md, Mermaid, SQLAlchemy, FastAPI, React, SQL Server, Docker.</w:t>
            </w:r>
          </w:p>
        </w:tc>
        <w:tc>
          <w:tcPr>
            <w:tcW w:w="1276" w:type="dxa"/>
          </w:tcPr>
          <w:p w14:paraId="7E1F846A"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1 a 2 semanas, con actualización durante el desarrollo.</w:t>
            </w:r>
          </w:p>
        </w:tc>
        <w:tc>
          <w:tcPr>
            <w:tcW w:w="1134" w:type="dxa"/>
          </w:tcPr>
          <w:p w14:paraId="1A27C76D"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(diagramas), con revisión del equipo.</w:t>
            </w:r>
          </w:p>
        </w:tc>
        <w:tc>
          <w:tcPr>
            <w:tcW w:w="1417" w:type="dxa"/>
          </w:tcPr>
          <w:p w14:paraId="031A7040"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arquitectura establece que ningún cliente se conecta directamente a la base de datos.</w:t>
            </w:r>
          </w:p>
        </w:tc>
        <w:tc>
          <w:tcPr>
            <w:tcW w:w="1276" w:type="dxa"/>
          </w:tcPr>
          <w:p w14:paraId="2850FDF3" w14:textId="77777777" w:rsidR="00B231DD" w:rsidRPr="001411E3" w:rsidRDefault="00B231DD"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Avanzada. La arquitectura y los diagramas están documentados. El 2026-10-04 se actualizaron el modelo E-R, el diagrama de clases, la secuencia de recepción y las historias de usuario con las reglas de negocio obtenidas del sistema legado.</w:t>
            </w:r>
          </w:p>
        </w:tc>
        <w:tc>
          <w:tcPr>
            <w:tcW w:w="992" w:type="dxa"/>
          </w:tcPr>
          <w:p w14:paraId="462B1DAF"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ajustaron los roles y se quitaron módulos fuera del alcance. El modelo E-R se rediseñó desde el código del sistema legado (ver sección 3).</w:t>
            </w:r>
          </w:p>
        </w:tc>
      </w:tr>
      <w:tr w:rsidR="00B231DD" w:rsidRPr="006E3B0D" w14:paraId="676036AC" w14:textId="77777777" w:rsidTr="001411E3">
        <w:trPr>
          <w:trHeight w:val="2410"/>
        </w:trPr>
        <w:tc>
          <w:tcPr>
            <w:tcW w:w="1328" w:type="dxa"/>
          </w:tcPr>
          <w:p w14:paraId="5435623F" w14:textId="77777777" w:rsidR="00B231DD" w:rsidRPr="001411E3" w:rsidRDefault="00B231DD"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lastRenderedPageBreak/>
              <w:t>Implementar mecanismos de autenticación y control de acceso.</w:t>
            </w:r>
          </w:p>
        </w:tc>
        <w:tc>
          <w:tcPr>
            <w:tcW w:w="1077" w:type="dxa"/>
          </w:tcPr>
          <w:p w14:paraId="1F070001"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usuarios, roles, login, generación de tokens JWT, hash de contraseñas, consulta del usuario autenticado y autorización por roles.</w:t>
            </w:r>
          </w:p>
        </w:tc>
        <w:tc>
          <w:tcPr>
            <w:tcW w:w="1276" w:type="dxa"/>
          </w:tcPr>
          <w:p w14:paraId="6A97D62A" w14:textId="77777777" w:rsidR="00B231DD" w:rsidRPr="00B231DD" w:rsidRDefault="00B231DD"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FastAPI, Pydantic, python-jose, Passlib, bcrypt, SQLAlchemy, SQL Server, app/core/security.py, app/api/deps.py.</w:t>
            </w:r>
          </w:p>
        </w:tc>
        <w:tc>
          <w:tcPr>
            <w:tcW w:w="1276" w:type="dxa"/>
          </w:tcPr>
          <w:p w14:paraId="5E00051D" w14:textId="15F66395"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S4 a S6 (18/09 al 04/10), antes de lo planificado en la Carta Gantt (S7–S8)</w:t>
            </w:r>
          </w:p>
        </w:tc>
        <w:tc>
          <w:tcPr>
            <w:tcW w:w="1134" w:type="dxa"/>
          </w:tcPr>
          <w:p w14:paraId="41D10D0A" w14:textId="77777777" w:rsid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Alejandro Rodríguez (modelo de usuarios y script del administrador), Diego Carrillo (router de autenticación y correcciones), Angelo Galindo (dependencias de autorización).</w:t>
            </w:r>
          </w:p>
        </w:tc>
        <w:tc>
          <w:tcPr>
            <w:tcW w:w="1417" w:type="dxa"/>
          </w:tcPr>
          <w:p w14:paraId="0BEE1ADE"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definieron los roles de operador de recepción, operador de proceso, administrador y gerencia</w:t>
            </w:r>
          </w:p>
        </w:tc>
        <w:tc>
          <w:tcPr>
            <w:tcW w:w="1276" w:type="dxa"/>
          </w:tcPr>
          <w:p w14:paraId="48896F25" w14:textId="77777777" w:rsidR="00B231DD" w:rsidRPr="001411E3" w:rsidRDefault="00253A89"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Completada para el backend. La API, los modelos, el login, la gestión de usuarios y las dependencias de autorización están implementados y probados.</w:t>
            </w:r>
          </w:p>
        </w:tc>
        <w:tc>
          <w:tcPr>
            <w:tcW w:w="992" w:type="dxa"/>
          </w:tcPr>
          <w:p w14:paraId="5B79B6A1" w14:textId="77777777" w:rsidR="00B231DD"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reemplazó la definición inicial de “Operador y Administrador” por cuatro roles específicos. Se descartaron productor externo, cliente y operador de bodega.</w:t>
            </w:r>
          </w:p>
        </w:tc>
      </w:tr>
      <w:tr w:rsidR="00253A89" w:rsidRPr="006E3B0D" w14:paraId="65FC128A" w14:textId="77777777" w:rsidTr="001411E3">
        <w:trPr>
          <w:trHeight w:val="2410"/>
        </w:trPr>
        <w:tc>
          <w:tcPr>
            <w:tcW w:w="1328" w:type="dxa"/>
          </w:tcPr>
          <w:p w14:paraId="711E4BCF" w14:textId="77777777" w:rsidR="00253A89" w:rsidRPr="001411E3" w:rsidRDefault="00253A89"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Diseñar e implementar la base de datos y sus migraciones.</w:t>
            </w:r>
          </w:p>
        </w:tc>
        <w:tc>
          <w:tcPr>
            <w:tcW w:w="1077" w:type="dxa"/>
          </w:tcPr>
          <w:p w14:paraId="324F308C"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modelo de usuarios y roles, configurar SQL Server, generar la migración inicial y documentar el procedimiento para aplicar futuras migraciones.</w:t>
            </w:r>
          </w:p>
        </w:tc>
        <w:tc>
          <w:tcPr>
            <w:tcW w:w="1276" w:type="dxa"/>
          </w:tcPr>
          <w:p w14:paraId="23063783" w14:textId="77777777" w:rsidR="00253A89" w:rsidRPr="00B231DD"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SQL Server 2022, Docker, SQLAlchemy 2.0, Alembic, app/models/usuario.py, migrations/env.py, alembic.ini.</w:t>
            </w:r>
          </w:p>
        </w:tc>
        <w:tc>
          <w:tcPr>
            <w:tcW w:w="1276" w:type="dxa"/>
          </w:tcPr>
          <w:p w14:paraId="408C6F76"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134" w:type="dxa"/>
          </w:tcPr>
          <w:p w14:paraId="669CD7A8"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Diego Carrillo (analista de base de datos), Angelo Galindo (configuración de Alembic y migración inicial), Alejandro Rodríguez (migración del rol gerencia).</w:t>
            </w:r>
          </w:p>
        </w:tc>
        <w:tc>
          <w:tcPr>
            <w:tcW w:w="1417" w:type="dxa"/>
          </w:tcPr>
          <w:p w14:paraId="2A0A4769"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migración inicial crea usuarios, usuario_roles y alembic_version. Una segunda migración renombró el rol supervisor a gerencia sin perder datos.</w:t>
            </w:r>
          </w:p>
        </w:tc>
        <w:tc>
          <w:tcPr>
            <w:tcW w:w="1276" w:type="dxa"/>
          </w:tcPr>
          <w:p w14:paraId="676258E4" w14:textId="77777777" w:rsidR="00253A89" w:rsidRPr="001411E3" w:rsidRDefault="00253A89"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Completada para E1. Las dos migraciones están versionadas y se aplican con alembic upgrade head.</w:t>
            </w:r>
          </w:p>
        </w:tc>
        <w:tc>
          <w:tcPr>
            <w:tcW w:w="992" w:type="dxa"/>
          </w:tcPr>
          <w:p w14:paraId="42F90330"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decidió utilizar SQL Server desde el comienzo y no SQLite. Las nuevas entidades de E2, E3 y E4 se agregarán mediante nuevas migraciones.</w:t>
            </w:r>
          </w:p>
        </w:tc>
      </w:tr>
      <w:tr w:rsidR="00253A89" w:rsidRPr="006E3B0D" w14:paraId="41947D95" w14:textId="77777777" w:rsidTr="001411E3">
        <w:trPr>
          <w:trHeight w:val="2410"/>
        </w:trPr>
        <w:tc>
          <w:tcPr>
            <w:tcW w:w="1328" w:type="dxa"/>
          </w:tcPr>
          <w:p w14:paraId="12602AA0" w14:textId="77777777" w:rsidR="00253A89" w:rsidRPr="001411E3" w:rsidRDefault="00253A89"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Realizar pruebas funcionales, de integración y de seguridad.</w:t>
            </w:r>
          </w:p>
        </w:tc>
        <w:tc>
          <w:tcPr>
            <w:tcW w:w="1077" w:type="dxa"/>
          </w:tcPr>
          <w:p w14:paraId="0E500496"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Probar /health, login correcto e incorrecto, usuarios desactivados, roles, creación de usuarios, contraseñas cifradas y respuestas sin password_hash.</w:t>
            </w:r>
          </w:p>
        </w:tc>
        <w:tc>
          <w:tcPr>
            <w:tcW w:w="1276" w:type="dxa"/>
          </w:tcPr>
          <w:p w14:paraId="2ECC9468"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Docker, FastAPI, pruebas en sistema/backend/tests/, documento Resultados_Pruebas_E1_2026-10-03.md.</w:t>
            </w:r>
          </w:p>
        </w:tc>
        <w:tc>
          <w:tcPr>
            <w:tcW w:w="1276" w:type="dxa"/>
          </w:tcPr>
          <w:p w14:paraId="7966302C"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Al cierre de cada épica (1 semana).</w:t>
            </w:r>
          </w:p>
        </w:tc>
        <w:tc>
          <w:tcPr>
            <w:tcW w:w="1134" w:type="dxa"/>
          </w:tcPr>
          <w:p w14:paraId="6052F262" w14:textId="77777777" w:rsid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 (QA).</w:t>
            </w:r>
          </w:p>
        </w:tc>
        <w:tc>
          <w:tcPr>
            <w:tcW w:w="1417" w:type="dxa"/>
          </w:tcPr>
          <w:p w14:paraId="692970BE"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Las pruebas deben ejecutarse dentro de Docker para asegurar que sean reproducibles.</w:t>
            </w:r>
          </w:p>
        </w:tc>
        <w:tc>
          <w:tcPr>
            <w:tcW w:w="1276" w:type="dxa"/>
          </w:tcPr>
          <w:p w14:paraId="75D70C60" w14:textId="77777777" w:rsidR="00253A89" w:rsidRPr="001411E3" w:rsidRDefault="00253A89"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Completada para el backend de E1. Se documentaron los criterios HTTP y se verificaron las dependencias de autenticación.</w:t>
            </w:r>
          </w:p>
        </w:tc>
        <w:tc>
          <w:tcPr>
            <w:tcW w:w="992" w:type="dxa"/>
          </w:tcPr>
          <w:p w14:paraId="5602B988" w14:textId="77777777" w:rsidR="00253A89" w:rsidRPr="00253A89" w:rsidRDefault="00253A89"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Las pruebas del </w:t>
            </w:r>
            <w:proofErr w:type="spellStart"/>
            <w:r>
              <w:rPr>
                <w:rFonts w:ascii="Calibri" w:hAnsi="Calibri" w:cs="Arial"/>
                <w:i/>
                <w:color w:val="548DD4"/>
                <w:sz w:val="18"/>
                <w:szCs w:val="20"/>
                <w:lang w:eastAsia="es-CL"/>
              </w:rPr>
              <w:t>frontend</w:t>
            </w:r>
            <w:proofErr w:type="spellEnd"/>
            <w:r>
              <w:rPr>
                <w:rFonts w:ascii="Calibri" w:hAnsi="Calibri" w:cs="Arial"/>
                <w:i/>
                <w:color w:val="548DD4"/>
                <w:sz w:val="18"/>
                <w:szCs w:val="20"/>
                <w:lang w:eastAsia="es-CL"/>
              </w:rPr>
              <w:t xml:space="preserve"> y de E2–E4 quedan pendientes. Se agregaron 17 casos complementarios.</w:t>
            </w:r>
          </w:p>
        </w:tc>
      </w:tr>
      <w:tr w:rsidR="00A825C8" w:rsidRPr="001411E3" w14:paraId="491C785D" w14:textId="77777777" w:rsidTr="001411E3">
        <w:trPr>
          <w:trHeight w:val="2410"/>
        </w:trPr>
        <w:tc>
          <w:tcPr>
            <w:tcW w:w="1328" w:type="dxa"/>
          </w:tcPr>
          <w:p w14:paraId="78A29B89" w14:textId="77777777" w:rsidR="00A825C8" w:rsidRPr="001411E3" w:rsidRDefault="00A825C8"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lastRenderedPageBreak/>
              <w:t>Desarrollar el frontend para autenticación y navegación inicial.</w:t>
            </w:r>
          </w:p>
        </w:tc>
        <w:tc>
          <w:tcPr>
            <w:tcW w:w="1077" w:type="dxa"/>
          </w:tcPr>
          <w:p w14:paraId="1135D1E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Crear el proyecto React/Vite/Tailwind, pantalla de login, almacenamiento temporal del token, consulta de /auth/me, cierre de sesión y rutas protegidas.</w:t>
            </w:r>
          </w:p>
        </w:tc>
        <w:tc>
          <w:tcPr>
            <w:tcW w:w="1276" w:type="dxa"/>
          </w:tcPr>
          <w:p w14:paraId="58C168FF"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React, Vite, Tailwind, Axios, React Router, Docker, guía Guia_Frontend_Login_E1_2026-10-03.md.</w:t>
            </w:r>
          </w:p>
        </w:tc>
        <w:tc>
          <w:tcPr>
            <w:tcW w:w="1276" w:type="dxa"/>
          </w:tcPr>
          <w:p w14:paraId="0EE5EAB0"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2 semanas</w:t>
            </w:r>
          </w:p>
        </w:tc>
        <w:tc>
          <w:tcPr>
            <w:tcW w:w="1134" w:type="dxa"/>
          </w:tcPr>
          <w:p w14:paraId="25691291"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Angelo Galindo.</w:t>
            </w:r>
          </w:p>
        </w:tc>
        <w:tc>
          <w:tcPr>
            <w:tcW w:w="1417" w:type="dxa"/>
          </w:tcPr>
          <w:p w14:paraId="4AFA1A18"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El frontend se comunica con la API en http://localhost:8000 desde el navegador; nunca accede directamente a la base de datos.</w:t>
            </w:r>
          </w:p>
        </w:tc>
        <w:tc>
          <w:tcPr>
            <w:tcW w:w="1276" w:type="dxa"/>
          </w:tcPr>
          <w:p w14:paraId="77C7E741" w14:textId="77777777" w:rsidR="00A825C8" w:rsidRPr="001411E3" w:rsidRDefault="00A825C8"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Completada para E1: inicio de sesión, sesión persistente, rutas protegidas y cierre de sesión.</w:t>
            </w:r>
          </w:p>
        </w:tc>
        <w:tc>
          <w:tcPr>
            <w:tcW w:w="992" w:type="dxa"/>
          </w:tcPr>
          <w:p w14:paraId="4AFF8EF7"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documentó el frontend como actividad completa.</w:t>
            </w:r>
          </w:p>
        </w:tc>
      </w:tr>
      <w:tr w:rsidR="00A825C8" w:rsidRPr="001411E3" w14:paraId="635A9164" w14:textId="77777777" w:rsidTr="001411E3">
        <w:trPr>
          <w:trHeight w:val="2410"/>
        </w:trPr>
        <w:tc>
          <w:tcPr>
            <w:tcW w:w="1328" w:type="dxa"/>
          </w:tcPr>
          <w:p w14:paraId="6442716F" w14:textId="77777777" w:rsidR="00A825C8" w:rsidRPr="001411E3" w:rsidRDefault="00A825C8"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Implementar módulos de negocio sobre una base de datos relacional.</w:t>
            </w:r>
          </w:p>
        </w:tc>
        <w:tc>
          <w:tcPr>
            <w:tcW w:w="1077" w:type="dxa"/>
          </w:tcPr>
          <w:p w14:paraId="64068D8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E2 Maestros core: mantenedores de productores (con validación de RUT) y de los catálogos de especies, variedades, calidades, tipos de bandeja, sistemas productivos y embalajes. Incluye la tabla de auditoría (HU21).</w:t>
            </w:r>
          </w:p>
        </w:tc>
        <w:tc>
          <w:tcPr>
            <w:tcW w:w="1276" w:type="dxa"/>
          </w:tcPr>
          <w:p w14:paraId="6A6F9A6D" w14:textId="77777777" w:rsidR="00A825C8" w:rsidRPr="00253A89" w:rsidRDefault="00A825C8" w:rsidP="00FD5149">
            <w:pPr>
              <w:jc w:val="both"/>
              <w:rPr>
                <w:rFonts w:ascii="Calibri" w:hAnsi="Calibri" w:cs="Arial"/>
                <w:i/>
                <w:color w:val="548DD4"/>
                <w:sz w:val="18"/>
                <w:szCs w:val="20"/>
                <w:lang w:eastAsia="es-CL"/>
              </w:rPr>
            </w:pPr>
            <w:proofErr w:type="spellStart"/>
            <w:r w:rsidRPr="001411E3">
              <w:rPr>
                <w:rFonts w:ascii="Calibri" w:hAnsi="Calibri" w:cs="Arial"/>
                <w:i/>
                <w:color w:val="548DD4"/>
                <w:sz w:val="18"/>
                <w:szCs w:val="20"/>
                <w:lang w:eastAsia="es-CL"/>
              </w:rPr>
              <w:t>FastAPI</w:t>
            </w:r>
            <w:proofErr w:type="spellEnd"/>
            <w:r w:rsidRPr="001411E3">
              <w:rPr>
                <w:rFonts w:ascii="Calibri" w:hAnsi="Calibri" w:cs="Arial"/>
                <w:i/>
                <w:color w:val="548DD4"/>
                <w:sz w:val="18"/>
                <w:szCs w:val="20"/>
                <w:lang w:eastAsia="es-CL"/>
              </w:rPr>
              <w:t xml:space="preserve">, </w:t>
            </w:r>
            <w:proofErr w:type="spellStart"/>
            <w:r w:rsidRPr="001411E3">
              <w:rPr>
                <w:rFonts w:ascii="Calibri" w:hAnsi="Calibri" w:cs="Arial"/>
                <w:i/>
                <w:color w:val="548DD4"/>
                <w:sz w:val="18"/>
                <w:szCs w:val="20"/>
                <w:lang w:eastAsia="es-CL"/>
              </w:rPr>
              <w:t>SQLAlchemy</w:t>
            </w:r>
            <w:proofErr w:type="spellEnd"/>
            <w:r w:rsidRPr="001411E3">
              <w:rPr>
                <w:rFonts w:ascii="Calibri" w:hAnsi="Calibri" w:cs="Arial"/>
                <w:i/>
                <w:color w:val="548DD4"/>
                <w:sz w:val="18"/>
                <w:szCs w:val="20"/>
                <w:lang w:eastAsia="es-CL"/>
              </w:rPr>
              <w:t xml:space="preserve">, Alembic, SQL Server, React. </w:t>
            </w:r>
            <w:r>
              <w:rPr>
                <w:rFonts w:ascii="Calibri" w:hAnsi="Calibri" w:cs="Arial"/>
                <w:i/>
                <w:color w:val="548DD4"/>
                <w:sz w:val="18"/>
                <w:szCs w:val="20"/>
                <w:lang w:eastAsia="es-CL"/>
              </w:rPr>
              <w:t>Historias HU07–HU11 y HU21.</w:t>
            </w:r>
          </w:p>
        </w:tc>
        <w:tc>
          <w:tcPr>
            <w:tcW w:w="1276" w:type="dxa"/>
          </w:tcPr>
          <w:p w14:paraId="56843E82" w14:textId="443AF78F"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S9 y S10 de la Carta Gantt (19/10 al 01/11).</w:t>
            </w:r>
          </w:p>
        </w:tc>
        <w:tc>
          <w:tcPr>
            <w:tcW w:w="1134" w:type="dxa"/>
          </w:tcPr>
          <w:p w14:paraId="2A5EE52F"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417" w:type="dxa"/>
          </w:tcPr>
          <w:p w14:paraId="158AFB64"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Base para registrar tarjas. Los catálogos se desactivan, no se borran.</w:t>
            </w:r>
          </w:p>
        </w:tc>
        <w:tc>
          <w:tcPr>
            <w:tcW w:w="1276" w:type="dxa"/>
          </w:tcPr>
          <w:p w14:paraId="0FDAF177" w14:textId="33552385" w:rsidR="00A825C8" w:rsidRPr="001411E3" w:rsidRDefault="00A825C8"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No iniciada. Planificada para las semanas S9 y S10; comienza el 19/10.</w:t>
            </w:r>
          </w:p>
        </w:tc>
        <w:tc>
          <w:tcPr>
            <w:tcW w:w="992" w:type="dxa"/>
          </w:tcPr>
          <w:p w14:paraId="5D6E164E"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agregaron sistemas productivos y embalajes.</w:t>
            </w:r>
          </w:p>
        </w:tc>
      </w:tr>
      <w:tr w:rsidR="00A825C8" w:rsidRPr="006E3B0D" w14:paraId="3AB977DD" w14:textId="77777777" w:rsidTr="001411E3">
        <w:trPr>
          <w:trHeight w:val="2410"/>
        </w:trPr>
        <w:tc>
          <w:tcPr>
            <w:tcW w:w="1328" w:type="dxa"/>
          </w:tcPr>
          <w:p w14:paraId="2488881D" w14:textId="77777777" w:rsidR="00A825C8" w:rsidRPr="001411E3" w:rsidRDefault="00A825C8"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Implementar módulos de negocio sobre una base de datos relacional.</w:t>
            </w:r>
          </w:p>
        </w:tc>
        <w:tc>
          <w:tcPr>
            <w:tcW w:w="1077" w:type="dxa"/>
          </w:tcPr>
          <w:p w14:paraId="24DA91C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 xml:space="preserve">E3 Recepción de tarjas: registro de la tarja de recepción con numeración automática, cálculo de kilos netos (peso de balanza − bandejas × </w:t>
            </w:r>
            <w:r>
              <w:rPr>
                <w:rFonts w:ascii="Calibri" w:hAnsi="Calibri" w:cs="Arial"/>
                <w:i/>
                <w:color w:val="548DD4"/>
                <w:sz w:val="18"/>
                <w:szCs w:val="20"/>
                <w:lang w:eastAsia="es-CL"/>
              </w:rPr>
              <w:lastRenderedPageBreak/>
              <w:t>tara − pallet), entrada de bandejas por productor, impresión, consulta y anulación.</w:t>
            </w:r>
          </w:p>
        </w:tc>
        <w:tc>
          <w:tcPr>
            <w:tcW w:w="1276" w:type="dxa"/>
          </w:tcPr>
          <w:p w14:paraId="7016956B" w14:textId="77777777" w:rsidR="00A825C8" w:rsidRPr="00253A89" w:rsidRDefault="00A825C8" w:rsidP="00FD5149">
            <w:pPr>
              <w:jc w:val="both"/>
              <w:rPr>
                <w:rFonts w:ascii="Calibri" w:hAnsi="Calibri" w:cs="Arial"/>
                <w:i/>
                <w:color w:val="548DD4"/>
                <w:sz w:val="18"/>
                <w:szCs w:val="20"/>
                <w:lang w:eastAsia="es-CL"/>
              </w:rPr>
            </w:pPr>
            <w:proofErr w:type="spellStart"/>
            <w:r w:rsidRPr="001411E3">
              <w:rPr>
                <w:rFonts w:ascii="Calibri" w:hAnsi="Calibri" w:cs="Arial"/>
                <w:i/>
                <w:color w:val="548DD4"/>
                <w:sz w:val="18"/>
                <w:szCs w:val="20"/>
                <w:lang w:eastAsia="es-CL"/>
              </w:rPr>
              <w:lastRenderedPageBreak/>
              <w:t>FastAPI</w:t>
            </w:r>
            <w:proofErr w:type="spellEnd"/>
            <w:r w:rsidRPr="001411E3">
              <w:rPr>
                <w:rFonts w:ascii="Calibri" w:hAnsi="Calibri" w:cs="Arial"/>
                <w:i/>
                <w:color w:val="548DD4"/>
                <w:sz w:val="18"/>
                <w:szCs w:val="20"/>
                <w:lang w:eastAsia="es-CL"/>
              </w:rPr>
              <w:t xml:space="preserve">, </w:t>
            </w:r>
            <w:proofErr w:type="spellStart"/>
            <w:r w:rsidRPr="001411E3">
              <w:rPr>
                <w:rFonts w:ascii="Calibri" w:hAnsi="Calibri" w:cs="Arial"/>
                <w:i/>
                <w:color w:val="548DD4"/>
                <w:sz w:val="18"/>
                <w:szCs w:val="20"/>
                <w:lang w:eastAsia="es-CL"/>
              </w:rPr>
              <w:t>SQLAlchemy</w:t>
            </w:r>
            <w:proofErr w:type="spellEnd"/>
            <w:r w:rsidRPr="001411E3">
              <w:rPr>
                <w:rFonts w:ascii="Calibri" w:hAnsi="Calibri" w:cs="Arial"/>
                <w:i/>
                <w:color w:val="548DD4"/>
                <w:sz w:val="18"/>
                <w:szCs w:val="20"/>
                <w:lang w:eastAsia="es-CL"/>
              </w:rPr>
              <w:t xml:space="preserve">, Alembic, SQL Server, React. </w:t>
            </w:r>
            <w:r>
              <w:rPr>
                <w:rFonts w:ascii="Calibri" w:hAnsi="Calibri" w:cs="Arial"/>
                <w:i/>
                <w:color w:val="548DD4"/>
                <w:sz w:val="18"/>
                <w:szCs w:val="20"/>
                <w:lang w:eastAsia="es-CL"/>
              </w:rPr>
              <w:t>Historias HU12–HU17 y HU24.</w:t>
            </w:r>
          </w:p>
        </w:tc>
        <w:tc>
          <w:tcPr>
            <w:tcW w:w="1276" w:type="dxa"/>
          </w:tcPr>
          <w:p w14:paraId="2D6F10D3" w14:textId="183EACEC"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S11 y S12 de la Carta Gantt (02/11 al 15/11).</w:t>
            </w:r>
          </w:p>
        </w:tc>
        <w:tc>
          <w:tcPr>
            <w:tcW w:w="1134" w:type="dxa"/>
          </w:tcPr>
          <w:p w14:paraId="18E5384F"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417" w:type="dxa"/>
          </w:tcPr>
          <w:p w14:paraId="2CADF762"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E2. La tarja es el registro de recepción.</w:t>
            </w:r>
          </w:p>
        </w:tc>
        <w:tc>
          <w:tcPr>
            <w:tcW w:w="1276" w:type="dxa"/>
          </w:tcPr>
          <w:p w14:paraId="28F8256C" w14:textId="65A39682" w:rsidR="00A825C8" w:rsidRPr="001411E3" w:rsidRDefault="00A825C8"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No iniciada. Planificada para las semanas S11 y S12.</w:t>
            </w:r>
          </w:p>
        </w:tc>
        <w:tc>
          <w:tcPr>
            <w:tcW w:w="992" w:type="dxa"/>
          </w:tcPr>
          <w:p w14:paraId="52C06A43"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La guía y la devolución de bandejas quedan fuera del PMV.</w:t>
            </w:r>
          </w:p>
        </w:tc>
      </w:tr>
      <w:tr w:rsidR="00A825C8" w:rsidRPr="006E3B0D" w14:paraId="40CC19B1" w14:textId="77777777" w:rsidTr="001411E3">
        <w:trPr>
          <w:trHeight w:val="2410"/>
        </w:trPr>
        <w:tc>
          <w:tcPr>
            <w:tcW w:w="1328" w:type="dxa"/>
          </w:tcPr>
          <w:p w14:paraId="783825DC" w14:textId="77777777" w:rsidR="00A825C8" w:rsidRPr="001411E3" w:rsidRDefault="00A825C8"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Implementar módulos de negocio sobre una base de datos relacional.</w:t>
            </w:r>
          </w:p>
        </w:tc>
        <w:tc>
          <w:tcPr>
            <w:tcW w:w="1077" w:type="dxa"/>
          </w:tcPr>
          <w:p w14:paraId="1D115B3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E4 Procesamiento y auditoría: proceso con folio, embalaje y cajas; consumo parcial de tarjas; cálculo de rendimiento y merma; edición de tarjas con auditoría; anulación de procesos; bitácora y trazabilidad.</w:t>
            </w:r>
          </w:p>
        </w:tc>
        <w:tc>
          <w:tcPr>
            <w:tcW w:w="1276" w:type="dxa"/>
          </w:tcPr>
          <w:p w14:paraId="3DE41A6D" w14:textId="77777777" w:rsidR="00A825C8" w:rsidRPr="00253A89" w:rsidRDefault="00A825C8" w:rsidP="00FD5149">
            <w:pPr>
              <w:jc w:val="both"/>
              <w:rPr>
                <w:rFonts w:ascii="Calibri" w:hAnsi="Calibri" w:cs="Arial"/>
                <w:i/>
                <w:color w:val="548DD4"/>
                <w:sz w:val="18"/>
                <w:szCs w:val="20"/>
                <w:lang w:eastAsia="es-CL"/>
              </w:rPr>
            </w:pPr>
            <w:proofErr w:type="spellStart"/>
            <w:r w:rsidRPr="001411E3">
              <w:rPr>
                <w:rFonts w:ascii="Calibri" w:hAnsi="Calibri" w:cs="Arial"/>
                <w:i/>
                <w:color w:val="548DD4"/>
                <w:sz w:val="18"/>
                <w:szCs w:val="20"/>
                <w:lang w:eastAsia="es-CL"/>
              </w:rPr>
              <w:t>FastAPI</w:t>
            </w:r>
            <w:proofErr w:type="spellEnd"/>
            <w:r w:rsidRPr="001411E3">
              <w:rPr>
                <w:rFonts w:ascii="Calibri" w:hAnsi="Calibri" w:cs="Arial"/>
                <w:i/>
                <w:color w:val="548DD4"/>
                <w:sz w:val="18"/>
                <w:szCs w:val="20"/>
                <w:lang w:eastAsia="es-CL"/>
              </w:rPr>
              <w:t xml:space="preserve">, </w:t>
            </w:r>
            <w:proofErr w:type="spellStart"/>
            <w:r w:rsidRPr="001411E3">
              <w:rPr>
                <w:rFonts w:ascii="Calibri" w:hAnsi="Calibri" w:cs="Arial"/>
                <w:i/>
                <w:color w:val="548DD4"/>
                <w:sz w:val="18"/>
                <w:szCs w:val="20"/>
                <w:lang w:eastAsia="es-CL"/>
              </w:rPr>
              <w:t>SQLAlchemy</w:t>
            </w:r>
            <w:proofErr w:type="spellEnd"/>
            <w:r w:rsidRPr="001411E3">
              <w:rPr>
                <w:rFonts w:ascii="Calibri" w:hAnsi="Calibri" w:cs="Arial"/>
                <w:i/>
                <w:color w:val="548DD4"/>
                <w:sz w:val="18"/>
                <w:szCs w:val="20"/>
                <w:lang w:eastAsia="es-CL"/>
              </w:rPr>
              <w:t xml:space="preserve">, Alembic, SQL Server, React. </w:t>
            </w:r>
            <w:r>
              <w:rPr>
                <w:rFonts w:ascii="Calibri" w:hAnsi="Calibri" w:cs="Arial"/>
                <w:i/>
                <w:color w:val="548DD4"/>
                <w:sz w:val="18"/>
                <w:szCs w:val="20"/>
                <w:lang w:eastAsia="es-CL"/>
              </w:rPr>
              <w:t>Historias HU18–HU23 y HU25.</w:t>
            </w:r>
          </w:p>
        </w:tc>
        <w:tc>
          <w:tcPr>
            <w:tcW w:w="1276" w:type="dxa"/>
          </w:tcPr>
          <w:p w14:paraId="72D6A734" w14:textId="40CADE1C"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Semanas S13 y S14 de la Carta Gantt (16/11 al 29/11).</w:t>
            </w:r>
          </w:p>
        </w:tc>
        <w:tc>
          <w:tcPr>
            <w:tcW w:w="1134" w:type="dxa"/>
          </w:tcPr>
          <w:p w14:paraId="2FD96D67" w14:textId="77777777" w:rsidR="00A825C8"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Por asignar.</w:t>
            </w:r>
          </w:p>
        </w:tc>
        <w:tc>
          <w:tcPr>
            <w:tcW w:w="1417" w:type="dxa"/>
          </w:tcPr>
          <w:p w14:paraId="4346D778"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Depende de E3.</w:t>
            </w:r>
          </w:p>
        </w:tc>
        <w:tc>
          <w:tcPr>
            <w:tcW w:w="1276" w:type="dxa"/>
          </w:tcPr>
          <w:p w14:paraId="0FC4E246" w14:textId="394A45FC" w:rsidR="00A825C8" w:rsidRPr="001411E3" w:rsidRDefault="00A825C8" w:rsidP="00FD5149">
            <w:pPr>
              <w:jc w:val="both"/>
              <w:rPr>
                <w:rFonts w:ascii="Calibri" w:hAnsi="Calibri" w:cs="Arial"/>
                <w:i/>
                <w:color w:val="548DD4"/>
                <w:sz w:val="18"/>
                <w:szCs w:val="20"/>
                <w:lang w:eastAsia="es-CL"/>
              </w:rPr>
            </w:pPr>
            <w:r w:rsidRPr="001411E3">
              <w:rPr>
                <w:rFonts w:ascii="Calibri" w:hAnsi="Calibri" w:cs="Arial"/>
                <w:i/>
                <w:color w:val="548DD4"/>
                <w:sz w:val="18"/>
                <w:szCs w:val="20"/>
                <w:lang w:eastAsia="es-CL"/>
              </w:rPr>
              <w:t>No iniciada. Planificada para las semanas S13 y S14.</w:t>
            </w:r>
          </w:p>
        </w:tc>
        <w:tc>
          <w:tcPr>
            <w:tcW w:w="992" w:type="dxa"/>
          </w:tcPr>
          <w:p w14:paraId="0F295C71" w14:textId="77777777" w:rsidR="00A825C8" w:rsidRPr="00253A89" w:rsidRDefault="00A825C8" w:rsidP="00FD5149">
            <w:pPr>
              <w:jc w:val="both"/>
              <w:rPr>
                <w:rFonts w:ascii="Calibri" w:hAnsi="Calibri" w:cs="Arial"/>
                <w:i/>
                <w:color w:val="548DD4"/>
                <w:sz w:val="18"/>
                <w:szCs w:val="20"/>
                <w:lang w:eastAsia="es-CL"/>
              </w:rPr>
            </w:pPr>
            <w:r>
              <w:rPr>
                <w:rFonts w:ascii="Calibri" w:hAnsi="Calibri" w:cs="Arial"/>
                <w:i/>
                <w:color w:val="548DD4"/>
                <w:sz w:val="18"/>
                <w:szCs w:val="20"/>
                <w:lang w:eastAsia="es-CL"/>
              </w:rPr>
              <w:t>Se incorporó el consumo parcial de tarjas.</w:t>
            </w:r>
          </w:p>
        </w:tc>
      </w:tr>
    </w:tbl>
    <w:p w14:paraId="71026F71"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3E32AA99" w14:textId="77777777" w:rsidTr="00C5122E">
        <w:trPr>
          <w:trHeight w:val="440"/>
        </w:trPr>
        <w:tc>
          <w:tcPr>
            <w:tcW w:w="9498" w:type="dxa"/>
            <w:vAlign w:val="center"/>
          </w:tcPr>
          <w:p w14:paraId="057A419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 xml:space="preserve">3. Ajustes a partir del monitoreo </w:t>
            </w:r>
          </w:p>
        </w:tc>
      </w:tr>
      <w:tr w:rsidR="0003309E" w14:paraId="5BC450D3" w14:textId="77777777" w:rsidTr="00C5122E">
        <w:trPr>
          <w:trHeight w:val="800"/>
        </w:trPr>
        <w:tc>
          <w:tcPr>
            <w:tcW w:w="9498" w:type="dxa"/>
            <w:shd w:val="clear" w:color="auto" w:fill="D9E2F3" w:themeFill="accent1" w:themeFillTint="33"/>
            <w:vAlign w:val="center"/>
          </w:tcPr>
          <w:p w14:paraId="38C795A3" w14:textId="77777777" w:rsidR="0003309E" w:rsidRPr="00B27207" w:rsidRDefault="0003309E">
            <w:pPr>
              <w:pStyle w:val="Piedepgina"/>
              <w:jc w:val="both"/>
              <w:rPr>
                <w:rFonts w:ascii="Calibri" w:hAnsi="Calibri"/>
                <w:color w:val="1F3864" w:themeColor="accent1" w:themeShade="80"/>
              </w:rPr>
            </w:pPr>
            <w:r>
              <w:rPr>
                <w:rFonts w:ascii="Calibri" w:hAnsi="Calibri"/>
                <w:color w:val="1F3864" w:themeColor="accent1" w:themeShade="80"/>
              </w:rPr>
              <w:t>Profundiza en las observaciones de tu plan de trabajo. Analiza las actividades planificadas y señala qué aspectos facilitaron u obstaculizaron la ejecución del plan. Plantea cómo abordaste y/o abordarás los obstáculos. Por último, señala los ajustes que realizaste al plan de trabajo a partir de este análisis.</w:t>
            </w:r>
          </w:p>
        </w:tc>
      </w:tr>
    </w:tbl>
    <w:p w14:paraId="155D9AD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097FBD96" w14:textId="77777777" w:rsidTr="00C5122E">
        <w:trPr>
          <w:trHeight w:val="1936"/>
        </w:trPr>
        <w:tc>
          <w:tcPr>
            <w:tcW w:w="5000" w:type="pct"/>
            <w:vAlign w:val="center"/>
          </w:tcPr>
          <w:p w14:paraId="430A5BC3" w14:textId="77777777" w:rsidR="0003309E" w:rsidRPr="00371CBB" w:rsidRDefault="0003309E" w:rsidP="00C5122E">
            <w:pPr>
              <w:jc w:val="both"/>
              <w:rPr>
                <w:rFonts w:ascii="Calibri" w:hAnsi="Calibri" w:cs="Arial"/>
                <w:i/>
                <w:iCs/>
                <w:color w:val="548DD4"/>
                <w:sz w:val="20"/>
                <w:szCs w:val="20"/>
                <w:lang w:eastAsia="es-CL"/>
              </w:rPr>
            </w:pPr>
            <w:r>
              <w:rPr>
                <w:rFonts w:ascii="Calibri" w:hAnsi="Calibri"/>
                <w:color w:val="1F3864" w:themeColor="accent1" w:themeShade="80"/>
              </w:rPr>
              <w:t>Factores que han facilitado y/o dificultado el desarrollo de mi plan de trabajo</w:t>
            </w:r>
            <w:r>
              <w:rPr>
                <w:rFonts w:ascii="Calibri" w:hAnsi="Calibri" w:cs="Arial"/>
                <w:color w:val="548DD4"/>
                <w:sz w:val="20"/>
                <w:szCs w:val="20"/>
                <w:lang w:eastAsia="es-CL"/>
              </w:rPr>
              <w:t xml:space="preserve">: </w:t>
            </w:r>
          </w:p>
          <w:p w14:paraId="7F6F1503" w14:textId="77777777" w:rsidR="00A825C8" w:rsidRPr="00694AF3" w:rsidRDefault="00A825C8" w:rsidP="00C5122E">
            <w:pPr>
              <w:rPr>
                <w:rFonts w:ascii="Calibri" w:hAnsi="Calibri"/>
                <w:color w:val="0070C0"/>
              </w:rPr>
            </w:pPr>
            <w:r>
              <w:rPr>
                <w:rFonts w:ascii="Calibri" w:hAnsi="Calibri"/>
                <w:b/>
                <w:color w:val="0070C0"/>
              </w:rPr>
              <w:t xml:space="preserve">Facilitaron: </w:t>
            </w:r>
            <w:r>
              <w:rPr>
                <w:rFonts w:ascii="Calibri" w:hAnsi="Calibri"/>
                <w:color w:val="0070C0"/>
              </w:rPr>
              <w:t>el uso de Docker, que dio un entorno idéntico para los tres integrantes sin instalar Python ni drivers en cada equipo; la metodología ágil con sprints semanales, que permitió avanzar de forma autónoma; y las guías paso a paso y los documentos de avances, que dejaron registro de cada decisión y comando.</w:t>
            </w:r>
          </w:p>
          <w:p w14:paraId="638617BD" w14:textId="77777777" w:rsidR="00A825C8" w:rsidRPr="00694AF3" w:rsidRDefault="00A825C8" w:rsidP="00C5122E">
            <w:pPr>
              <w:rPr>
                <w:rFonts w:ascii="Calibri" w:hAnsi="Calibri"/>
                <w:color w:val="0070C0"/>
              </w:rPr>
            </w:pPr>
            <w:r>
              <w:rPr>
                <w:rFonts w:ascii="Calibri" w:hAnsi="Calibri"/>
                <w:b/>
                <w:color w:val="0070C0"/>
              </w:rPr>
              <w:t xml:space="preserve">Dificultaron: </w:t>
            </w:r>
            <w:r>
              <w:rPr>
                <w:rFonts w:ascii="Calibri" w:hAnsi="Calibri"/>
                <w:color w:val="0070C0"/>
              </w:rPr>
              <w:t>coordinar horarios para resolver dudas o retomar tareas postergadas; los errores iniciales del código, que impedían que el backend arrancara; los cambios de alcance y de nombres de roles durante el desarrollo, que obligaron a actualizar código, base de datos y documentos; y las reglas de negocio del sistema legado, que no estaban documentadas y hubo que obtener de su código fuente.</w:t>
            </w:r>
          </w:p>
          <w:p w14:paraId="2A498D0C" w14:textId="77777777" w:rsidR="00A825C8" w:rsidRPr="00694AF3" w:rsidRDefault="00A825C8" w:rsidP="00C5122E">
            <w:pPr>
              <w:rPr>
                <w:rFonts w:ascii="Calibri" w:hAnsi="Calibri"/>
                <w:color w:val="0070C0"/>
              </w:rPr>
            </w:pPr>
            <w:r>
              <w:rPr>
                <w:rFonts w:ascii="Calibri" w:hAnsi="Calibri"/>
                <w:b/>
                <w:color w:val="0070C0"/>
              </w:rPr>
              <w:lastRenderedPageBreak/>
              <w:t xml:space="preserve">Cómo se abordaron: </w:t>
            </w:r>
            <w:r>
              <w:rPr>
                <w:rFonts w:ascii="Calibri" w:hAnsi="Calibri"/>
                <w:color w:val="0070C0"/>
              </w:rPr>
              <w:t>se registraron las decisiones con su fecha y motivo en el repositorio de avances; cada cambio de base de datos se hizo con una migración nueva en lugar de editar las existentes; cada etapa se cerró con un acta de pruebas; y el diseño de E2 a E4 se ajustó antes de implementarlo, tras revisar el código del sistema legado.</w:t>
            </w:r>
          </w:p>
          <w:p w14:paraId="62B4C19A" w14:textId="77777777" w:rsidR="0003309E" w:rsidRPr="00CD38BD" w:rsidRDefault="0003309E" w:rsidP="00C5122E">
            <w:pPr>
              <w:rPr>
                <w:rFonts w:ascii="Calibri" w:hAnsi="Calibri"/>
                <w:color w:val="1F3864" w:themeColor="accent1" w:themeShade="80"/>
              </w:rPr>
            </w:pPr>
          </w:p>
          <w:p w14:paraId="4B740C48" w14:textId="77777777" w:rsidR="0003309E" w:rsidRDefault="0003309E" w:rsidP="00C5122E">
            <w:pPr>
              <w:jc w:val="both"/>
              <w:rPr>
                <w:rFonts w:ascii="Calibri" w:hAnsi="Calibri" w:cs="Arial"/>
                <w:i/>
                <w:color w:val="548DD4"/>
                <w:sz w:val="20"/>
                <w:szCs w:val="20"/>
                <w:lang w:eastAsia="es-CL"/>
              </w:rPr>
            </w:pPr>
          </w:p>
          <w:p w14:paraId="3E08101B" w14:textId="77777777" w:rsidR="0003309E" w:rsidRDefault="0003309E" w:rsidP="00C5122E">
            <w:pPr>
              <w:jc w:val="both"/>
              <w:rPr>
                <w:rFonts w:ascii="Calibri" w:hAnsi="Calibri" w:cs="Arial"/>
                <w:i/>
                <w:color w:val="548DD4"/>
                <w:sz w:val="20"/>
                <w:szCs w:val="20"/>
                <w:lang w:eastAsia="es-CL"/>
              </w:rPr>
            </w:pPr>
          </w:p>
          <w:p w14:paraId="565EAF81" w14:textId="77777777" w:rsidR="0003309E" w:rsidRPr="00711C16" w:rsidRDefault="0003309E" w:rsidP="00C5122E">
            <w:pPr>
              <w:jc w:val="both"/>
              <w:rPr>
                <w:rFonts w:ascii="Calibri" w:hAnsi="Calibri" w:cs="Arial"/>
                <w:i/>
                <w:color w:val="548DD4"/>
                <w:sz w:val="20"/>
                <w:szCs w:val="20"/>
                <w:lang w:eastAsia="es-CL"/>
              </w:rPr>
            </w:pPr>
          </w:p>
        </w:tc>
      </w:tr>
    </w:tbl>
    <w:p w14:paraId="0498CF2E"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1D8D4DE0" w14:textId="77777777" w:rsidTr="00C5122E">
        <w:trPr>
          <w:trHeight w:val="1936"/>
        </w:trPr>
        <w:tc>
          <w:tcPr>
            <w:tcW w:w="5000" w:type="pct"/>
            <w:vAlign w:val="center"/>
          </w:tcPr>
          <w:p w14:paraId="7550C736" w14:textId="77777777" w:rsidR="00255AC5" w:rsidRDefault="0003309E" w:rsidP="00C5122E">
            <w:pPr>
              <w:jc w:val="both"/>
              <w:rPr>
                <w:rFonts w:ascii="Calibri" w:hAnsi="Calibri" w:cs="Arial"/>
                <w:i/>
                <w:color w:val="548DD4"/>
                <w:sz w:val="20"/>
                <w:szCs w:val="20"/>
                <w:lang w:eastAsia="es-CL"/>
              </w:rPr>
            </w:pPr>
            <w:r>
              <w:rPr>
                <w:rFonts w:ascii="Calibri" w:hAnsi="Calibri"/>
                <w:color w:val="1F3864" w:themeColor="accent1" w:themeShade="80"/>
              </w:rPr>
              <w:t>Actividades ajustadas o eliminadas:</w:t>
            </w:r>
          </w:p>
          <w:p w14:paraId="36F768F7"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eliminaron del alcance los módulos de bodega, despacho y reportes de gestión, para cumplir con las cuatro épicas en el periodo académico.</w:t>
            </w:r>
          </w:p>
          <w:p w14:paraId="4C82996E"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definieron cuatro roles del sistema en lugar de "Operador y Administrador". Se descartaron los roles futuros "Productor externo" y "Cliente", porque un administrador podría asignarlos sin que existieran permisos para ellos. Se agregarán con una migración cuando se necesiten.</w:t>
            </w:r>
          </w:p>
          <w:p w14:paraId="4944F8A9"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rediseñó el modelo de datos de E2 a E4 a partir del código del sistema legado (2026-10-04): la tarja pasa a ser el registro de recepción; los kilos netos descuentan bandejas y pallet, como en el legado; una tarja puede procesarse en partes; el proceso lleva folio, embalaje y cajas; y se agregan los catálogos de sistemas productivos y embalajes.</w:t>
            </w:r>
          </w:p>
          <w:p w14:paraId="76045437"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La guía de recepción que agrupa tarjas, con la devolución de bandejas al productor, y la migración de datos del sistema legado quedan fuera del PMV, como trabajo posterior.</w:t>
            </w:r>
          </w:p>
          <w:p w14:paraId="1F1FC69B" w14:textId="77777777" w:rsidR="00255AC5" w:rsidRPr="00255AC5" w:rsidRDefault="00255AC5" w:rsidP="00255AC5">
            <w:pPr>
              <w:numPr>
                <w:ilvl w:val="0"/>
                <w:numId w:val="4"/>
              </w:numPr>
              <w:jc w:val="both"/>
              <w:rPr>
                <w:rFonts w:ascii="Calibri" w:hAnsi="Calibri" w:cs="Arial"/>
                <w:i/>
                <w:color w:val="548DD4"/>
                <w:sz w:val="20"/>
                <w:szCs w:val="20"/>
                <w:lang w:val="es-419" w:eastAsia="es-CL"/>
              </w:rPr>
            </w:pPr>
            <w:r>
              <w:rPr>
                <w:rFonts w:ascii="Calibri" w:hAnsi="Calibri" w:cs="Arial"/>
                <w:i/>
                <w:color w:val="548DD4"/>
                <w:sz w:val="20"/>
                <w:szCs w:val="20"/>
                <w:lang w:val="es-419" w:eastAsia="es-CL"/>
              </w:rPr>
              <w:t>Se agregaron la anulación de tarjas de recepción y de procesos (HU24 y HU25), solo para el administrador y sin borrar registros, en reemplazo del borrado físico del legado. Sus Story Points están por estimar.</w:t>
            </w:r>
          </w:p>
          <w:p w14:paraId="21610E44" w14:textId="77777777" w:rsidR="0003309E" w:rsidRDefault="0003309E" w:rsidP="00C5122E">
            <w:pPr>
              <w:jc w:val="both"/>
              <w:rPr>
                <w:rFonts w:ascii="Calibri" w:hAnsi="Calibri" w:cs="Arial"/>
                <w:i/>
                <w:color w:val="548DD4"/>
                <w:sz w:val="20"/>
                <w:szCs w:val="20"/>
                <w:lang w:eastAsia="es-CL"/>
              </w:rPr>
            </w:pPr>
          </w:p>
          <w:p w14:paraId="236D0352" w14:textId="77777777" w:rsidR="00FD5149" w:rsidRPr="00CD38BD" w:rsidRDefault="00FD5149" w:rsidP="00C5122E">
            <w:pPr>
              <w:jc w:val="both"/>
              <w:rPr>
                <w:rFonts w:ascii="Calibri" w:hAnsi="Calibri" w:cs="Arial"/>
                <w:i/>
                <w:color w:val="548DD4"/>
                <w:sz w:val="20"/>
                <w:szCs w:val="20"/>
                <w:lang w:eastAsia="es-CL"/>
              </w:rPr>
            </w:pPr>
          </w:p>
          <w:p w14:paraId="2825389B" w14:textId="77777777" w:rsidR="0003309E" w:rsidRDefault="0003309E" w:rsidP="00C5122E">
            <w:pPr>
              <w:jc w:val="both"/>
              <w:rPr>
                <w:rFonts w:ascii="Calibri" w:hAnsi="Calibri" w:cs="Arial"/>
                <w:i/>
                <w:color w:val="C00000"/>
                <w:sz w:val="20"/>
                <w:szCs w:val="20"/>
                <w:lang w:eastAsia="es-CL"/>
              </w:rPr>
            </w:pPr>
          </w:p>
          <w:p w14:paraId="36F967A7" w14:textId="77777777" w:rsidR="0003309E" w:rsidRDefault="0003309E" w:rsidP="00C5122E">
            <w:pPr>
              <w:jc w:val="both"/>
              <w:rPr>
                <w:rFonts w:ascii="Calibri" w:hAnsi="Calibri" w:cs="Arial"/>
                <w:i/>
                <w:color w:val="548DD4"/>
                <w:sz w:val="20"/>
                <w:szCs w:val="20"/>
                <w:lang w:eastAsia="es-CL"/>
              </w:rPr>
            </w:pPr>
          </w:p>
          <w:p w14:paraId="190A473D" w14:textId="77777777" w:rsidR="0003309E" w:rsidRDefault="0003309E" w:rsidP="00C5122E">
            <w:pPr>
              <w:jc w:val="both"/>
              <w:rPr>
                <w:rFonts w:ascii="Calibri" w:hAnsi="Calibri" w:cs="Arial"/>
                <w:i/>
                <w:color w:val="548DD4"/>
                <w:sz w:val="20"/>
                <w:szCs w:val="20"/>
                <w:lang w:eastAsia="es-CL"/>
              </w:rPr>
            </w:pPr>
          </w:p>
          <w:p w14:paraId="3A5BB345" w14:textId="77777777" w:rsidR="0003309E" w:rsidRDefault="0003309E" w:rsidP="00C5122E">
            <w:pPr>
              <w:jc w:val="both"/>
              <w:rPr>
                <w:rFonts w:ascii="Calibri" w:hAnsi="Calibri" w:cs="Arial"/>
                <w:i/>
                <w:color w:val="548DD4"/>
                <w:sz w:val="20"/>
                <w:szCs w:val="20"/>
                <w:lang w:eastAsia="es-CL"/>
              </w:rPr>
            </w:pPr>
          </w:p>
          <w:p w14:paraId="6AF93C2D" w14:textId="77777777" w:rsidR="00FD5149" w:rsidRDefault="00FD5149" w:rsidP="00C5122E">
            <w:pPr>
              <w:jc w:val="both"/>
              <w:rPr>
                <w:rFonts w:ascii="Calibri" w:hAnsi="Calibri" w:cs="Arial"/>
                <w:i/>
                <w:color w:val="548DD4"/>
                <w:sz w:val="20"/>
                <w:szCs w:val="20"/>
                <w:lang w:eastAsia="es-CL"/>
              </w:rPr>
            </w:pPr>
          </w:p>
          <w:p w14:paraId="76866994" w14:textId="77777777" w:rsidR="0003309E" w:rsidRPr="00711C16" w:rsidRDefault="0003309E" w:rsidP="00C5122E">
            <w:pPr>
              <w:jc w:val="both"/>
              <w:rPr>
                <w:rFonts w:ascii="Calibri" w:hAnsi="Calibri" w:cs="Arial"/>
                <w:i/>
                <w:color w:val="548DD4"/>
                <w:sz w:val="20"/>
                <w:szCs w:val="20"/>
                <w:lang w:eastAsia="es-CL"/>
              </w:rPr>
            </w:pPr>
          </w:p>
        </w:tc>
      </w:tr>
    </w:tbl>
    <w:p w14:paraId="50F14EA2" w14:textId="77777777" w:rsidR="0003309E" w:rsidRDefault="0003309E" w:rsidP="0003309E">
      <w:pPr>
        <w:spacing w:after="0" w:line="240" w:lineRule="auto"/>
        <w:jc w:val="both"/>
        <w:rPr>
          <w:rFonts w:ascii="Calibri" w:hAnsi="Calibri" w:cs="Arial"/>
          <w:i/>
          <w:color w:val="548DD4"/>
          <w:sz w:val="20"/>
          <w:szCs w:val="20"/>
          <w:lang w:eastAsia="es-CL"/>
        </w:rPr>
      </w:pPr>
    </w:p>
    <w:p w14:paraId="546288E6"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713F579" w14:textId="77777777" w:rsidTr="00C5122E">
        <w:trPr>
          <w:trHeight w:val="1966"/>
        </w:trPr>
        <w:tc>
          <w:tcPr>
            <w:tcW w:w="5000" w:type="pct"/>
            <w:vAlign w:val="center"/>
          </w:tcPr>
          <w:p w14:paraId="632AB68B" w14:textId="77777777" w:rsidR="0003309E" w:rsidRDefault="0003309E" w:rsidP="00585A13">
            <w:pPr>
              <w:jc w:val="both"/>
              <w:rPr>
                <w:rFonts w:ascii="Calibri" w:hAnsi="Calibri" w:cs="Arial"/>
                <w:i/>
                <w:color w:val="548DD4"/>
                <w:sz w:val="20"/>
                <w:szCs w:val="20"/>
                <w:lang w:eastAsia="es-CL"/>
              </w:rPr>
            </w:pPr>
            <w:r>
              <w:rPr>
                <w:rFonts w:ascii="Calibri" w:hAnsi="Calibri"/>
                <w:color w:val="1F3864" w:themeColor="accent1" w:themeShade="80"/>
              </w:rPr>
              <w:lastRenderedPageBreak/>
              <w:t>Actividades que no has iniciado o están retrasadas:</w:t>
            </w:r>
            <w:r>
              <w:rPr>
                <w:rFonts w:ascii="Calibri" w:hAnsi="Calibri" w:cs="Arial"/>
                <w:i/>
                <w:color w:val="548DD4"/>
                <w:sz w:val="20"/>
                <w:szCs w:val="20"/>
                <w:lang w:eastAsia="es-CL"/>
              </w:rPr>
              <w:t xml:space="preserve"> </w:t>
            </w:r>
          </w:p>
          <w:p w14:paraId="78A9EE46" w14:textId="58C256D0"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No hay actividades retrasadas respecto de la Carta Gantt. La Épica 1 (autenticación, usuarios y control de acceso por rol) se desarrolló entre las semanas S4 y S6 y se cerró el 04/10, antes de lo planificado (S7–S8), en backend y frontend, con un criterio parcial: el menú con opciones por rol de HU01 y HU02, que se completa con las primeras pantallas de E2. Las semanas S7 y S8 se dedicaron a la documentación solicitada por el docente y a la corrección del diseño.</w:t>
            </w:r>
          </w:p>
          <w:p w14:paraId="2A26F655" w14:textId="6CC9BA58"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Las épicas E2 Maestros core, E3 Recepción de tarjas y E4 Procesamiento y auditoría aún no se inician porque corresponden a las semanas siguientes de la Carta Gantt: E2 en S9 y S10, E3 en S11 y S12, y E4 en S13 y S14.</w:t>
            </w:r>
          </w:p>
          <w:p w14:paraId="33C4DAF2" w14:textId="77777777" w:rsidR="0003309E" w:rsidRDefault="0003309E" w:rsidP="00585A13">
            <w:pPr>
              <w:jc w:val="both"/>
              <w:rPr>
                <w:rFonts w:ascii="Calibri" w:hAnsi="Calibri" w:cs="Arial"/>
                <w:i/>
                <w:color w:val="548DD4"/>
                <w:sz w:val="20"/>
                <w:szCs w:val="20"/>
                <w:lang w:eastAsia="es-CL"/>
              </w:rPr>
            </w:pPr>
            <w:r>
              <w:rPr>
                <w:rFonts w:ascii="Calibri" w:hAnsi="Calibri" w:cs="Arial"/>
                <w:i/>
                <w:color w:val="548DD4"/>
                <w:sz w:val="20"/>
                <w:szCs w:val="20"/>
                <w:lang w:eastAsia="es-CL"/>
              </w:rPr>
              <w:t>Para mantener el ritmo, en E2 a E4 se reutilizará la estructura validada en E1 (modelo y migración, schemas, servicio, router protegido por rol, pruebas y acta), y el diseño de sus tablas ya se ajustó antes de implementarlas.</w:t>
            </w:r>
          </w:p>
          <w:p w14:paraId="22103501" w14:textId="77777777" w:rsidR="00FD5149" w:rsidRDefault="00FD5149" w:rsidP="00585A13">
            <w:pPr>
              <w:jc w:val="both"/>
              <w:rPr>
                <w:rFonts w:ascii="Calibri" w:hAnsi="Calibri" w:cs="Arial"/>
                <w:i/>
                <w:color w:val="548DD4"/>
                <w:sz w:val="20"/>
                <w:szCs w:val="20"/>
                <w:lang w:eastAsia="es-CL"/>
              </w:rPr>
            </w:pPr>
          </w:p>
          <w:p w14:paraId="62CE3EF4" w14:textId="77777777" w:rsidR="00FD5149" w:rsidRPr="00CD38BD" w:rsidRDefault="00FD5149" w:rsidP="00585A13">
            <w:pPr>
              <w:jc w:val="both"/>
              <w:rPr>
                <w:rFonts w:ascii="Calibri" w:hAnsi="Calibri" w:cs="Arial"/>
                <w:i/>
                <w:color w:val="548DD4"/>
                <w:sz w:val="20"/>
                <w:szCs w:val="20"/>
                <w:lang w:eastAsia="es-CL"/>
              </w:rPr>
            </w:pPr>
          </w:p>
          <w:p w14:paraId="1D51FD72" w14:textId="77777777" w:rsidR="0003309E" w:rsidRDefault="0003309E" w:rsidP="00585A13">
            <w:pPr>
              <w:jc w:val="both"/>
              <w:rPr>
                <w:rFonts w:ascii="Calibri" w:hAnsi="Calibri" w:cs="Arial"/>
                <w:i/>
                <w:color w:val="548DD4"/>
                <w:sz w:val="20"/>
                <w:szCs w:val="20"/>
                <w:lang w:eastAsia="es-CL"/>
              </w:rPr>
            </w:pPr>
          </w:p>
          <w:p w14:paraId="6D74B9FB" w14:textId="77777777" w:rsidR="0003309E" w:rsidRDefault="0003309E" w:rsidP="00585A13">
            <w:pPr>
              <w:jc w:val="both"/>
              <w:rPr>
                <w:rFonts w:ascii="Calibri" w:hAnsi="Calibri" w:cs="Arial"/>
                <w:i/>
                <w:color w:val="548DD4"/>
                <w:sz w:val="20"/>
                <w:szCs w:val="20"/>
                <w:lang w:eastAsia="es-CL"/>
              </w:rPr>
            </w:pPr>
          </w:p>
          <w:p w14:paraId="320FBB89" w14:textId="77777777" w:rsidR="0003309E" w:rsidRDefault="0003309E" w:rsidP="00585A13">
            <w:pPr>
              <w:jc w:val="both"/>
              <w:rPr>
                <w:rFonts w:ascii="Calibri" w:hAnsi="Calibri" w:cs="Arial"/>
                <w:i/>
                <w:color w:val="548DD4"/>
                <w:sz w:val="20"/>
                <w:szCs w:val="20"/>
                <w:lang w:eastAsia="es-CL"/>
              </w:rPr>
            </w:pPr>
          </w:p>
          <w:p w14:paraId="209A393C" w14:textId="77777777" w:rsidR="0003309E" w:rsidRDefault="0003309E" w:rsidP="00585A13">
            <w:pPr>
              <w:jc w:val="both"/>
              <w:rPr>
                <w:rFonts w:ascii="Calibri" w:hAnsi="Calibri" w:cs="Arial"/>
                <w:i/>
                <w:color w:val="548DD4"/>
                <w:sz w:val="20"/>
                <w:szCs w:val="20"/>
                <w:lang w:eastAsia="es-CL"/>
              </w:rPr>
            </w:pPr>
          </w:p>
          <w:p w14:paraId="57926AB1" w14:textId="77777777" w:rsidR="0003309E" w:rsidRPr="00711C16" w:rsidRDefault="0003309E" w:rsidP="00585A13">
            <w:pPr>
              <w:jc w:val="both"/>
              <w:rPr>
                <w:rFonts w:ascii="Calibri" w:hAnsi="Calibri" w:cs="Arial"/>
                <w:i/>
                <w:color w:val="548DD4"/>
                <w:sz w:val="20"/>
                <w:szCs w:val="20"/>
                <w:lang w:eastAsia="es-CL"/>
              </w:rPr>
            </w:pPr>
          </w:p>
        </w:tc>
      </w:tr>
    </w:tbl>
    <w:p w14:paraId="43BCEF62" w14:textId="77777777" w:rsidR="0003309E" w:rsidRPr="0003309E" w:rsidRDefault="0003309E">
      <w:pPr>
        <w:rPr>
          <w:lang w:val="es-ES"/>
        </w:rPr>
      </w:pPr>
    </w:p>
    <w:sectPr w:rsidR="0003309E" w:rsidRPr="0003309E">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9B28C" w14:textId="77777777" w:rsidR="0052479E" w:rsidRDefault="0052479E" w:rsidP="0003309E">
      <w:pPr>
        <w:spacing w:after="0" w:line="240" w:lineRule="auto"/>
      </w:pPr>
      <w:r>
        <w:separator/>
      </w:r>
    </w:p>
  </w:endnote>
  <w:endnote w:type="continuationSeparator" w:id="0">
    <w:p w14:paraId="5D184D9E" w14:textId="77777777" w:rsidR="0052479E" w:rsidRDefault="0052479E"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7C2B18" w14:textId="77777777" w:rsidR="0052479E" w:rsidRDefault="0052479E" w:rsidP="0003309E">
      <w:pPr>
        <w:spacing w:after="0" w:line="240" w:lineRule="auto"/>
      </w:pPr>
      <w:r>
        <w:separator/>
      </w:r>
    </w:p>
  </w:footnote>
  <w:footnote w:type="continuationSeparator" w:id="0">
    <w:p w14:paraId="43C8D22F" w14:textId="77777777" w:rsidR="0052479E" w:rsidRDefault="0052479E" w:rsidP="0003309E">
      <w:pPr>
        <w:spacing w:after="0" w:line="240" w:lineRule="auto"/>
      </w:pPr>
      <w:r>
        <w:continuationSeparator/>
      </w:r>
    </w:p>
  </w:footnote>
  <w:footnote w:id="1">
    <w:p w14:paraId="63AD729F"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31278E9F" w14:textId="77777777" w:rsidTr="00C44557">
      <w:trPr>
        <w:trHeight w:val="697"/>
      </w:trPr>
      <w:tc>
        <w:tcPr>
          <w:tcW w:w="5954" w:type="dxa"/>
          <w:tcBorders>
            <w:top w:val="nil"/>
            <w:left w:val="nil"/>
            <w:bottom w:val="nil"/>
            <w:right w:val="nil"/>
          </w:tcBorders>
        </w:tcPr>
        <w:p w14:paraId="13F639C8" w14:textId="77777777"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681367F3" w14:textId="77777777"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4B87BB41"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1234136432" name="Imagen 1234136432"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59733B7"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C95"/>
    <w:multiLevelType w:val="multilevel"/>
    <w:tmpl w:val="04C6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0E326CB"/>
    <w:multiLevelType w:val="hybridMultilevel"/>
    <w:tmpl w:val="FB0A4A58"/>
    <w:lvl w:ilvl="0" w:tplc="580A000F">
      <w:start w:val="1"/>
      <w:numFmt w:val="decimal"/>
      <w:lvlText w:val="%1."/>
      <w:lvlJc w:val="left"/>
      <w:pPr>
        <w:ind w:left="1440" w:hanging="360"/>
      </w:pPr>
    </w:lvl>
    <w:lvl w:ilvl="1" w:tplc="580A0019" w:tentative="1">
      <w:start w:val="1"/>
      <w:numFmt w:val="lowerLetter"/>
      <w:lvlText w:val="%2."/>
      <w:lvlJc w:val="left"/>
      <w:pPr>
        <w:ind w:left="2160" w:hanging="360"/>
      </w:pPr>
    </w:lvl>
    <w:lvl w:ilvl="2" w:tplc="580A001B" w:tentative="1">
      <w:start w:val="1"/>
      <w:numFmt w:val="lowerRoman"/>
      <w:lvlText w:val="%3."/>
      <w:lvlJc w:val="right"/>
      <w:pPr>
        <w:ind w:left="2880" w:hanging="180"/>
      </w:pPr>
    </w:lvl>
    <w:lvl w:ilvl="3" w:tplc="580A000F" w:tentative="1">
      <w:start w:val="1"/>
      <w:numFmt w:val="decimal"/>
      <w:lvlText w:val="%4."/>
      <w:lvlJc w:val="left"/>
      <w:pPr>
        <w:ind w:left="3600" w:hanging="360"/>
      </w:pPr>
    </w:lvl>
    <w:lvl w:ilvl="4" w:tplc="580A0019" w:tentative="1">
      <w:start w:val="1"/>
      <w:numFmt w:val="lowerLetter"/>
      <w:lvlText w:val="%5."/>
      <w:lvlJc w:val="left"/>
      <w:pPr>
        <w:ind w:left="4320" w:hanging="360"/>
      </w:pPr>
    </w:lvl>
    <w:lvl w:ilvl="5" w:tplc="580A001B" w:tentative="1">
      <w:start w:val="1"/>
      <w:numFmt w:val="lowerRoman"/>
      <w:lvlText w:val="%6."/>
      <w:lvlJc w:val="right"/>
      <w:pPr>
        <w:ind w:left="5040" w:hanging="180"/>
      </w:pPr>
    </w:lvl>
    <w:lvl w:ilvl="6" w:tplc="580A000F" w:tentative="1">
      <w:start w:val="1"/>
      <w:numFmt w:val="decimal"/>
      <w:lvlText w:val="%7."/>
      <w:lvlJc w:val="left"/>
      <w:pPr>
        <w:ind w:left="5760" w:hanging="360"/>
      </w:pPr>
    </w:lvl>
    <w:lvl w:ilvl="7" w:tplc="580A0019" w:tentative="1">
      <w:start w:val="1"/>
      <w:numFmt w:val="lowerLetter"/>
      <w:lvlText w:val="%8."/>
      <w:lvlJc w:val="left"/>
      <w:pPr>
        <w:ind w:left="6480" w:hanging="360"/>
      </w:pPr>
    </w:lvl>
    <w:lvl w:ilvl="8" w:tplc="580A001B" w:tentative="1">
      <w:start w:val="1"/>
      <w:numFmt w:val="lowerRoman"/>
      <w:lvlText w:val="%9."/>
      <w:lvlJc w:val="right"/>
      <w:pPr>
        <w:ind w:left="7200" w:hanging="180"/>
      </w:pPr>
    </w:lvl>
  </w:abstractNum>
  <w:abstractNum w:abstractNumId="3" w15:restartNumberingAfterBreak="0">
    <w:nsid w:val="69C73608"/>
    <w:multiLevelType w:val="hybridMultilevel"/>
    <w:tmpl w:val="CFDCC5F2"/>
    <w:lvl w:ilvl="0" w:tplc="580A0001">
      <w:start w:val="1"/>
      <w:numFmt w:val="bullet"/>
      <w:lvlText w:val=""/>
      <w:lvlJc w:val="left"/>
      <w:pPr>
        <w:ind w:left="720" w:hanging="360"/>
      </w:pPr>
      <w:rPr>
        <w:rFonts w:ascii="Symbol" w:hAnsi="Symbol" w:hint="default"/>
      </w:rPr>
    </w:lvl>
    <w:lvl w:ilvl="1" w:tplc="580A0003" w:tentative="1">
      <w:start w:val="1"/>
      <w:numFmt w:val="bullet"/>
      <w:lvlText w:val="o"/>
      <w:lvlJc w:val="left"/>
      <w:pPr>
        <w:ind w:left="1440" w:hanging="360"/>
      </w:pPr>
      <w:rPr>
        <w:rFonts w:ascii="Courier New" w:hAnsi="Courier New" w:cs="Courier New" w:hint="default"/>
      </w:rPr>
    </w:lvl>
    <w:lvl w:ilvl="2" w:tplc="580A0005" w:tentative="1">
      <w:start w:val="1"/>
      <w:numFmt w:val="bullet"/>
      <w:lvlText w:val=""/>
      <w:lvlJc w:val="left"/>
      <w:pPr>
        <w:ind w:left="2160" w:hanging="360"/>
      </w:pPr>
      <w:rPr>
        <w:rFonts w:ascii="Wingdings" w:hAnsi="Wingdings" w:hint="default"/>
      </w:rPr>
    </w:lvl>
    <w:lvl w:ilvl="3" w:tplc="580A0001" w:tentative="1">
      <w:start w:val="1"/>
      <w:numFmt w:val="bullet"/>
      <w:lvlText w:val=""/>
      <w:lvlJc w:val="left"/>
      <w:pPr>
        <w:ind w:left="2880" w:hanging="360"/>
      </w:pPr>
      <w:rPr>
        <w:rFonts w:ascii="Symbol" w:hAnsi="Symbol" w:hint="default"/>
      </w:rPr>
    </w:lvl>
    <w:lvl w:ilvl="4" w:tplc="580A0003" w:tentative="1">
      <w:start w:val="1"/>
      <w:numFmt w:val="bullet"/>
      <w:lvlText w:val="o"/>
      <w:lvlJc w:val="left"/>
      <w:pPr>
        <w:ind w:left="3600" w:hanging="360"/>
      </w:pPr>
      <w:rPr>
        <w:rFonts w:ascii="Courier New" w:hAnsi="Courier New" w:cs="Courier New" w:hint="default"/>
      </w:rPr>
    </w:lvl>
    <w:lvl w:ilvl="5" w:tplc="580A0005" w:tentative="1">
      <w:start w:val="1"/>
      <w:numFmt w:val="bullet"/>
      <w:lvlText w:val=""/>
      <w:lvlJc w:val="left"/>
      <w:pPr>
        <w:ind w:left="4320" w:hanging="360"/>
      </w:pPr>
      <w:rPr>
        <w:rFonts w:ascii="Wingdings" w:hAnsi="Wingdings" w:hint="default"/>
      </w:rPr>
    </w:lvl>
    <w:lvl w:ilvl="6" w:tplc="580A0001" w:tentative="1">
      <w:start w:val="1"/>
      <w:numFmt w:val="bullet"/>
      <w:lvlText w:val=""/>
      <w:lvlJc w:val="left"/>
      <w:pPr>
        <w:ind w:left="5040" w:hanging="360"/>
      </w:pPr>
      <w:rPr>
        <w:rFonts w:ascii="Symbol" w:hAnsi="Symbol" w:hint="default"/>
      </w:rPr>
    </w:lvl>
    <w:lvl w:ilvl="7" w:tplc="580A0003" w:tentative="1">
      <w:start w:val="1"/>
      <w:numFmt w:val="bullet"/>
      <w:lvlText w:val="o"/>
      <w:lvlJc w:val="left"/>
      <w:pPr>
        <w:ind w:left="5760" w:hanging="360"/>
      </w:pPr>
      <w:rPr>
        <w:rFonts w:ascii="Courier New" w:hAnsi="Courier New" w:cs="Courier New" w:hint="default"/>
      </w:rPr>
    </w:lvl>
    <w:lvl w:ilvl="8" w:tplc="580A0005" w:tentative="1">
      <w:start w:val="1"/>
      <w:numFmt w:val="bullet"/>
      <w:lvlText w:val=""/>
      <w:lvlJc w:val="left"/>
      <w:pPr>
        <w:ind w:left="6480" w:hanging="360"/>
      </w:pPr>
      <w:rPr>
        <w:rFonts w:ascii="Wingdings" w:hAnsi="Wingdings" w:hint="default"/>
      </w:rPr>
    </w:lvl>
  </w:abstractNum>
  <w:num w:numId="1" w16cid:durableId="223834104">
    <w:abstractNumId w:val="1"/>
  </w:num>
  <w:num w:numId="2" w16cid:durableId="1570339003">
    <w:abstractNumId w:val="3"/>
  </w:num>
  <w:num w:numId="3" w16cid:durableId="361633764">
    <w:abstractNumId w:val="2"/>
  </w:num>
  <w:num w:numId="4" w16cid:durableId="3627520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579F7"/>
    <w:rsid w:val="00065341"/>
    <w:rsid w:val="000A1331"/>
    <w:rsid w:val="001411E3"/>
    <w:rsid w:val="00145B36"/>
    <w:rsid w:val="00147283"/>
    <w:rsid w:val="00253A89"/>
    <w:rsid w:val="00255AC5"/>
    <w:rsid w:val="0027648D"/>
    <w:rsid w:val="003608EA"/>
    <w:rsid w:val="0045626E"/>
    <w:rsid w:val="00470CE4"/>
    <w:rsid w:val="004B75F6"/>
    <w:rsid w:val="004F4FE2"/>
    <w:rsid w:val="00521026"/>
    <w:rsid w:val="0052479E"/>
    <w:rsid w:val="00545F23"/>
    <w:rsid w:val="00553A9D"/>
    <w:rsid w:val="00563B43"/>
    <w:rsid w:val="00586C9C"/>
    <w:rsid w:val="005A0A7C"/>
    <w:rsid w:val="005B4D4A"/>
    <w:rsid w:val="00603474"/>
    <w:rsid w:val="00675035"/>
    <w:rsid w:val="00675A73"/>
    <w:rsid w:val="006858A7"/>
    <w:rsid w:val="00691BC6"/>
    <w:rsid w:val="00694AF3"/>
    <w:rsid w:val="00695E7C"/>
    <w:rsid w:val="006B242E"/>
    <w:rsid w:val="006B6CD5"/>
    <w:rsid w:val="00806DE0"/>
    <w:rsid w:val="0081536B"/>
    <w:rsid w:val="008479F5"/>
    <w:rsid w:val="0085275A"/>
    <w:rsid w:val="008F621F"/>
    <w:rsid w:val="009378F7"/>
    <w:rsid w:val="009552E5"/>
    <w:rsid w:val="009732D5"/>
    <w:rsid w:val="00976ABB"/>
    <w:rsid w:val="00991A39"/>
    <w:rsid w:val="009E52DF"/>
    <w:rsid w:val="00A416D7"/>
    <w:rsid w:val="00A825C8"/>
    <w:rsid w:val="00A92C7E"/>
    <w:rsid w:val="00B231DD"/>
    <w:rsid w:val="00B31361"/>
    <w:rsid w:val="00B4258F"/>
    <w:rsid w:val="00B8164D"/>
    <w:rsid w:val="00BE1024"/>
    <w:rsid w:val="00C10E40"/>
    <w:rsid w:val="00C20F3D"/>
    <w:rsid w:val="00C44557"/>
    <w:rsid w:val="00C5122E"/>
    <w:rsid w:val="00C75ACA"/>
    <w:rsid w:val="00CD4BD0"/>
    <w:rsid w:val="00CE0AA8"/>
    <w:rsid w:val="00D67975"/>
    <w:rsid w:val="00D714E2"/>
    <w:rsid w:val="00DF3386"/>
    <w:rsid w:val="00E07498"/>
    <w:rsid w:val="00E50368"/>
    <w:rsid w:val="00E61927"/>
    <w:rsid w:val="00EA0C09"/>
    <w:rsid w:val="00EC10E2"/>
    <w:rsid w:val="00EE7C1E"/>
    <w:rsid w:val="00F379AF"/>
    <w:rsid w:val="00FC4EBF"/>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E8272"/>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C75AC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8</Pages>
  <Words>2305</Words>
  <Characters>12683</Characters>
  <Application>Microsoft Office Word</Application>
  <DocSecurity>0</DocSecurity>
  <Lines>105</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Alejandro Antonio Rodríguez Leiva (alejandrorodriguez)</cp:lastModifiedBy>
  <cp:revision>11</cp:revision>
  <dcterms:created xsi:type="dcterms:W3CDTF">2022-08-24T18:14:00Z</dcterms:created>
  <dcterms:modified xsi:type="dcterms:W3CDTF">2026-10-18T19:33:00Z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