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C9F4" w14:textId="3BF9D942" w:rsidR="00776AB0" w:rsidRPr="007643C1" w:rsidRDefault="00776AB0">
      <w:pPr>
        <w:rPr>
          <w:color w:val="4472C4" w:themeColor="accent1"/>
          <w:sz w:val="28"/>
          <w:szCs w:val="28"/>
        </w:rPr>
      </w:pPr>
      <w:r w:rsidRPr="007643C1">
        <w:rPr>
          <w:color w:val="4472C4" w:themeColor="accent1"/>
          <w:sz w:val="28"/>
          <w:szCs w:val="28"/>
        </w:rPr>
        <w:t>Ejercicio 4.</w:t>
      </w:r>
    </w:p>
    <w:p w14:paraId="7B107F1B" w14:textId="086662ED" w:rsidR="00FF221F" w:rsidRPr="00FF221F" w:rsidRDefault="00FF221F">
      <w:r w:rsidRPr="00FF221F">
        <w:t>Es importante recalcar que</w:t>
      </w:r>
      <w:r>
        <w:t xml:space="preserve"> el conocimiento de</w:t>
      </w:r>
      <w:r w:rsidRPr="00FF221F">
        <w:t xml:space="preserve"> los recursos de amparo constitucional corresponde a las Salas de Tribunal Constitucional y, en su caso, a las Secciones.</w:t>
      </w:r>
    </w:p>
    <w:p w14:paraId="334B03D0" w14:textId="03DAB003" w:rsidR="005128CD" w:rsidRDefault="00776AB0">
      <w:r w:rsidRPr="00776AB0">
        <w:t>El procedimiento que debe seguir un ciudadano para interponer un recurso de Amparo ante el Tribunal Constitucional es el siguiente:</w:t>
      </w:r>
    </w:p>
    <w:p w14:paraId="779F2207" w14:textId="106C37EE" w:rsidR="00776AB0" w:rsidRPr="00776AB0" w:rsidRDefault="00EA53B4">
      <w:r>
        <w:t>En primer lugar, e</w:t>
      </w:r>
      <w:r w:rsidR="00776AB0">
        <w:t>l recurso de amparo constitucional se iniciará mediante una demanda en la que se expondrán clara</w:t>
      </w:r>
      <w:r w:rsidR="00B61389">
        <w:t>mente</w:t>
      </w:r>
      <w:r w:rsidR="00776AB0">
        <w:t xml:space="preserve"> los hechos que la fundamenten, se citarán los preceptos constitucionales que se consideren infringidos y se fijará con detalle el amparo que se solicita para preservar </w:t>
      </w:r>
      <w:r w:rsidR="00776AB0" w:rsidRPr="00776AB0">
        <w:t>o restablecer el derecho o libertad</w:t>
      </w:r>
      <w:r w:rsidR="00776AB0">
        <w:t xml:space="preserve"> que ha sido considerada vulnerada. La demanda</w:t>
      </w:r>
      <w:r w:rsidR="00B61389">
        <w:t xml:space="preserve"> tendrá que</w:t>
      </w:r>
      <w:r w:rsidR="00776AB0">
        <w:t xml:space="preserve"> </w:t>
      </w:r>
      <w:r w:rsidR="00B61389">
        <w:t>justificar la especial trascendencia constitucional de recurso.</w:t>
      </w:r>
    </w:p>
    <w:p w14:paraId="72FD4F0C" w14:textId="77777777" w:rsidR="00B61389" w:rsidRDefault="00B61389">
      <w:r>
        <w:t>La demanda vendrá acompañada con el documento que acredite la representación del solicitante del amparo junto con la copia, traslado o certificación de la resolución que recae sobre el procedimiento judicial o administrativo. Además de los anterior, también se incluirán tantas copias literales de la demanda y de los documentos que han sido presentados como partes en el previo proceso, en el caso de haberlo, y una más para el Ministerio Fiscal.</w:t>
      </w:r>
    </w:p>
    <w:p w14:paraId="147C64AC" w14:textId="5AEDD6F8" w:rsidR="00776AB0" w:rsidRDefault="00B61389">
      <w:r>
        <w:t xml:space="preserve">Si no se cumple alguno de los requisitos anteriormente mencionados, las Secretarías de Justica los notifican en un plazo máximo de 10 días, advirtiéndole que si no se corrige el error o se presenta la documentación necesaria en el plazo que se indica, se rechazará el recurso. </w:t>
      </w:r>
    </w:p>
    <w:p w14:paraId="715CBCC3" w14:textId="5EDEB129" w:rsidR="00FF221F" w:rsidRDefault="00FF221F">
      <w:r>
        <w:t>La admisión del recurso de Amparo deberá ser acordada por unanimidad de los miembros que forman parte de la Sección.</w:t>
      </w:r>
      <w:r w:rsidR="000D387C">
        <w:t xml:space="preserve"> En caso de no alcanzar la unanimidad, la Sección traslada la decisión a la sala respectiva para su resolución.</w:t>
      </w:r>
      <w:r w:rsidR="000D387C" w:rsidRPr="000D387C">
        <w:rPr>
          <w:rFonts w:ascii="Verdana" w:hAnsi="Verdana"/>
          <w:color w:val="000000"/>
          <w:shd w:val="clear" w:color="auto" w:fill="FFFFFF"/>
        </w:rPr>
        <w:t xml:space="preserve"> </w:t>
      </w:r>
      <w:r w:rsidR="000D387C" w:rsidRPr="000D387C">
        <w:t xml:space="preserve">Las providencias de inadmisión adoptadas por las </w:t>
      </w:r>
      <w:r w:rsidR="000D387C" w:rsidRPr="000D387C">
        <w:t>Secciones</w:t>
      </w:r>
      <w:r w:rsidR="000D387C" w:rsidRPr="000D387C">
        <w:t xml:space="preserve"> especificarán el requisito incumplido y se</w:t>
      </w:r>
      <w:r w:rsidR="000D387C">
        <w:t>rán</w:t>
      </w:r>
      <w:r w:rsidR="000D387C" w:rsidRPr="000D387C">
        <w:t xml:space="preserve"> notifica</w:t>
      </w:r>
      <w:r w:rsidR="000D387C">
        <w:t>das</w:t>
      </w:r>
      <w:r w:rsidR="000D387C" w:rsidRPr="000D387C">
        <w:t xml:space="preserve"> al demandante y al Ministerio Fiscal</w:t>
      </w:r>
      <w:r w:rsidR="000D387C">
        <w:t>.</w:t>
      </w:r>
    </w:p>
    <w:p w14:paraId="203F5C85" w14:textId="4A128081" w:rsidR="000D387C" w:rsidRPr="000D387C" w:rsidRDefault="000D387C">
      <w:r>
        <w:t>Una vez que ha sido admitida la demanda de amparo, la Sala requerirá urgentemente al órgano o a la autoridad de que dimane la decisión para que remita las actuaciones o testimonio de ellas en un plazo que no exceda los diez días.</w:t>
      </w:r>
    </w:p>
    <w:p w14:paraId="711574CE" w14:textId="7B2CCB3C" w:rsidR="000D387C" w:rsidRDefault="000D387C">
      <w:r>
        <w:t xml:space="preserve">Cuando ya se han recibido las actuaciones y ha transcurrido el tiempo de emplazamiento, la Sala procederá a dar vista de las mismas </w:t>
      </w:r>
      <w:r w:rsidR="00E168E7">
        <w:t>a quien promovió el amparo, a los personados en el proceso, al Abogado del Estado, y al Ministerio Fiscal.</w:t>
      </w:r>
    </w:p>
    <w:p w14:paraId="3E68E298" w14:textId="58C9AA7F" w:rsidR="00243E1E" w:rsidRDefault="00E168E7">
      <w:r>
        <w:t xml:space="preserve">Por último, la Sala podrá admitir la resolución del recurso, y tendrá que pronunciar la sentencia que proceda en el plazo de 10 días a partir del día señalado para la vista. </w:t>
      </w:r>
    </w:p>
    <w:p w14:paraId="5639E061" w14:textId="0260494E" w:rsidR="00243E1E" w:rsidRDefault="00243E1E">
      <w:r>
        <w:t>Para este ejercicio he utilizado la siguiente referencia bibliográfica:</w:t>
      </w:r>
    </w:p>
    <w:p w14:paraId="3D87A66A" w14:textId="77EE4C0E" w:rsidR="00243E1E" w:rsidRDefault="00243E1E">
      <w:hyperlink r:id="rId5" w:history="1">
        <w:r w:rsidRPr="005379EB">
          <w:rPr>
            <w:rStyle w:val="Hipervnculo"/>
          </w:rPr>
          <w:t>https://www.boe.es/buscar/act</w:t>
        </w:r>
        <w:r w:rsidRPr="005379EB">
          <w:rPr>
            <w:rStyle w:val="Hipervnculo"/>
          </w:rPr>
          <w:t>.</w:t>
        </w:r>
        <w:r w:rsidRPr="005379EB">
          <w:rPr>
            <w:rStyle w:val="Hipervnculo"/>
          </w:rPr>
          <w:t>php?id=BOE-A-1979-23709&amp;p=20151017&amp;tn=1#acuarentayuno</w:t>
        </w:r>
      </w:hyperlink>
    </w:p>
    <w:p w14:paraId="688B1631" w14:textId="52237E13" w:rsidR="00243E1E" w:rsidRDefault="00243E1E" w:rsidP="00243E1E">
      <w:pPr>
        <w:tabs>
          <w:tab w:val="left" w:pos="4780"/>
        </w:tabs>
      </w:pPr>
      <w:r>
        <w:t xml:space="preserve">He empleado desde el art. 48 </w:t>
      </w:r>
      <w:r w:rsidR="00C56864">
        <w:t>hasta el 52.</w:t>
      </w:r>
    </w:p>
    <w:p w14:paraId="7FCA0FBD" w14:textId="54A57D9C" w:rsidR="00C56864" w:rsidRDefault="00C56864" w:rsidP="00243E1E">
      <w:pPr>
        <w:tabs>
          <w:tab w:val="left" w:pos="4780"/>
        </w:tabs>
      </w:pPr>
      <w:r>
        <w:t>También, antes de solicitar un recurso de Amparo, puede resultarnos útil tener conocimiento sobre el art. 41 al 47.</w:t>
      </w:r>
    </w:p>
    <w:p w14:paraId="5DA6AA0B" w14:textId="77777777" w:rsidR="00D86D38" w:rsidRDefault="00D86D38"/>
    <w:p w14:paraId="7F552429" w14:textId="77777777" w:rsidR="00D86D38" w:rsidRDefault="00D86D38"/>
    <w:p w14:paraId="7A889EE5" w14:textId="75B841CB" w:rsidR="00D86D38" w:rsidRPr="007643C1" w:rsidRDefault="00C56864">
      <w:pPr>
        <w:rPr>
          <w:color w:val="4472C4" w:themeColor="accent1"/>
          <w:sz w:val="28"/>
          <w:szCs w:val="28"/>
        </w:rPr>
      </w:pPr>
      <w:r w:rsidRPr="007643C1">
        <w:rPr>
          <w:color w:val="4472C4" w:themeColor="accent1"/>
          <w:sz w:val="28"/>
          <w:szCs w:val="28"/>
        </w:rPr>
        <w:lastRenderedPageBreak/>
        <w:t>Ejercicio 5.</w:t>
      </w:r>
    </w:p>
    <w:p w14:paraId="76EE8A38" w14:textId="70D9BA5B" w:rsidR="00D86D38" w:rsidRDefault="006276A4">
      <w:r>
        <w:t>Según el art. 81 de la Constitución Española “</w:t>
      </w:r>
      <w:r w:rsidRPr="006276A4">
        <w:t>Son leyes orgánicas las relativas al desarrollo de los derechos fundamentales y de las libertades públicas, las que aprueben los Estatutos de Autonomía y el régimen electoral general y las demás previstas en la Constitución</w:t>
      </w:r>
      <w:r w:rsidRPr="006276A4">
        <w:t>”</w:t>
      </w:r>
      <w:r>
        <w:t>, mientras q</w:t>
      </w:r>
      <w:r w:rsidR="004A6AEB">
        <w:t>ue los Decretos leyes, según el art. 86 de la Constitución Española “</w:t>
      </w:r>
      <w:r w:rsidR="004A6AEB" w:rsidRPr="004A6AEB">
        <w:t>no podrán afectar al ordenamiento de las instituciones básicas del Estado, a los derechos, deberes y libertades de los ciudadanos</w:t>
      </w:r>
      <w:r w:rsidR="004A6AEB">
        <w:t>”. Esto último hace referencia precisamente a las leyes orgánicas, afirmando que un Decreto Ley no puede afectar a una Ley Orgánica. Al igual que un Decreto Ley, un Decreto Legislativo tampoco podrá afectar una Lay Orgánica.</w:t>
      </w:r>
    </w:p>
    <w:p w14:paraId="6BCF24B3" w14:textId="789BF8F6" w:rsidR="004A6AEB" w:rsidRDefault="001D74A7">
      <w:r>
        <w:t>La diferencia entre un Decreto Ley y un Decreto Legislativo es que un Decreto Ley es empleado únicamente en casos de extraordinaria y urgente necesidad. El Congreso de los Diputados someterá el Decreto Ley a debate y votación de totalidad y se pronunciará sobre su convalidació</w:t>
      </w:r>
      <w:r w:rsidR="000516CC">
        <w:t>n</w:t>
      </w:r>
      <w:r>
        <w:t xml:space="preserve">. </w:t>
      </w:r>
      <w:r w:rsidR="007274EE">
        <w:t>A diferencia de un Decreto Ley, un Decreto Legislativo son las disposiciones que dicta el Gobierno y que contienen una legislación delegada. La delegación legislativa será otorgada mediante una ley de bases o por una ley ordinaria.</w:t>
      </w:r>
    </w:p>
    <w:p w14:paraId="439A65AD" w14:textId="77777777" w:rsidR="007274EE" w:rsidRDefault="007274EE" w:rsidP="007274EE">
      <w:r>
        <w:t>Para este ejercicio he utilizado la siguiente referencia bibliográfica:</w:t>
      </w:r>
    </w:p>
    <w:p w14:paraId="153B8481" w14:textId="16D2F94B" w:rsidR="007274EE" w:rsidRDefault="007274EE" w:rsidP="007274EE">
      <w:hyperlink r:id="rId6" w:anchor="a81" w:history="1">
        <w:r>
          <w:rPr>
            <w:rStyle w:val="Hipervnculo"/>
          </w:rPr>
          <w:t>https://www.boe.es/buscar/act.php?id=BOE-A-1978-31229&amp;p=20110927&amp;tn=1#a81</w:t>
        </w:r>
      </w:hyperlink>
    </w:p>
    <w:p w14:paraId="2756F67F" w14:textId="07A4F26D" w:rsidR="007274EE" w:rsidRDefault="007274EE" w:rsidP="007274EE">
      <w:pPr>
        <w:tabs>
          <w:tab w:val="left" w:pos="4780"/>
        </w:tabs>
      </w:pPr>
      <w:r>
        <w:t>H</w:t>
      </w:r>
      <w:r w:rsidR="007853AF">
        <w:t>e</w:t>
      </w:r>
      <w:r>
        <w:t xml:space="preserve"> empleado</w:t>
      </w:r>
      <w:r>
        <w:t xml:space="preserve"> </w:t>
      </w:r>
      <w:r>
        <w:t xml:space="preserve">el art. </w:t>
      </w:r>
      <w:r>
        <w:t>81, 82, 85 y 86</w:t>
      </w:r>
      <w:r>
        <w:t>.</w:t>
      </w:r>
    </w:p>
    <w:p w14:paraId="4A2F008D" w14:textId="0834F36C" w:rsidR="007274EE" w:rsidRDefault="007274EE" w:rsidP="007274EE">
      <w:pPr>
        <w:tabs>
          <w:tab w:val="left" w:pos="4780"/>
        </w:tabs>
      </w:pPr>
    </w:p>
    <w:p w14:paraId="726B33AC" w14:textId="37E277DA" w:rsidR="007274EE" w:rsidRPr="007643C1" w:rsidRDefault="007274EE" w:rsidP="007274EE">
      <w:pPr>
        <w:rPr>
          <w:color w:val="4472C4" w:themeColor="accent1"/>
          <w:sz w:val="28"/>
          <w:szCs w:val="28"/>
        </w:rPr>
      </w:pPr>
      <w:r w:rsidRPr="007643C1">
        <w:rPr>
          <w:color w:val="4472C4" w:themeColor="accent1"/>
          <w:sz w:val="28"/>
          <w:szCs w:val="28"/>
        </w:rPr>
        <w:t xml:space="preserve">Ejercicio 6. </w:t>
      </w:r>
    </w:p>
    <w:p w14:paraId="59E56DD3" w14:textId="7844B09A" w:rsidR="004A6AEB" w:rsidRDefault="007643C1" w:rsidP="007643C1">
      <w:r>
        <w:t xml:space="preserve">a) </w:t>
      </w:r>
      <w:r w:rsidR="00D1245A">
        <w:t xml:space="preserve">Una directiva comunitaria </w:t>
      </w:r>
      <w:r>
        <w:t>es una modalidad jurídica utilizada por la Unión Europea para establecer unos resultados que tienen que ser logrados por sus estados miembros, dejándoles la libertad en los medios para cumplirlos. Tres ejemplos de directivas europeas son:</w:t>
      </w:r>
    </w:p>
    <w:bookmarkStart w:id="0" w:name="https://eur-lex.europa.eu/legal-content/"/>
    <w:p w14:paraId="78DBE957" w14:textId="43DD135B" w:rsidR="00214CA2" w:rsidRDefault="00214CA2" w:rsidP="00214CA2">
      <w:pPr>
        <w:pStyle w:val="Ttulo2"/>
        <w:numPr>
          <w:ilvl w:val="0"/>
          <w:numId w:val="7"/>
        </w:numPr>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7643C1">
        <w:rPr>
          <w:rFonts w:asciiTheme="minorHAnsi" w:eastAsiaTheme="minorHAnsi" w:hAnsiTheme="minorHAnsi" w:cstheme="minorBidi"/>
          <w:b w:val="0"/>
          <w:bCs w:val="0"/>
          <w:sz w:val="22"/>
          <w:szCs w:val="22"/>
          <w:lang w:eastAsia="en-US"/>
        </w:rPr>
        <w:fldChar w:fldCharType="begin"/>
      </w:r>
      <w:r w:rsidRPr="007643C1">
        <w:rPr>
          <w:rFonts w:asciiTheme="minorHAnsi" w:eastAsiaTheme="minorHAnsi" w:hAnsiTheme="minorHAnsi" w:cstheme="minorBidi"/>
          <w:b w:val="0"/>
          <w:bCs w:val="0"/>
          <w:sz w:val="22"/>
          <w:szCs w:val="22"/>
          <w:lang w:eastAsia="en-US"/>
        </w:rPr>
        <w:instrText xml:space="preserve"> HYPERLINK "https://eur-lex.europa.eu/legal-content/AUTO/?uri=CELEX:32009L0031&amp;qid=1676233474481&amp;rid=2" </w:instrText>
      </w:r>
      <w:r w:rsidRPr="007643C1">
        <w:rPr>
          <w:rFonts w:asciiTheme="minorHAnsi" w:eastAsiaTheme="minorHAnsi" w:hAnsiTheme="minorHAnsi" w:cstheme="minorBidi"/>
          <w:b w:val="0"/>
          <w:bCs w:val="0"/>
          <w:sz w:val="22"/>
          <w:szCs w:val="22"/>
          <w:lang w:eastAsia="en-US"/>
        </w:rPr>
        <w:fldChar w:fldCharType="separate"/>
      </w:r>
      <w:r w:rsidRPr="007643C1">
        <w:rPr>
          <w:rFonts w:asciiTheme="minorHAnsi" w:eastAsiaTheme="minorHAnsi" w:hAnsiTheme="minorHAnsi" w:cstheme="minorBidi"/>
          <w:b w:val="0"/>
          <w:bCs w:val="0"/>
          <w:sz w:val="22"/>
          <w:szCs w:val="22"/>
          <w:lang w:eastAsia="en-US"/>
        </w:rPr>
        <w:t>Directiva 2009/31/CE del Parlamento Europeo y del Consejo, de 23 de abril de 2009, relativa al almacenamiento geológico de dióxido de carbono y por la que se modifican la Directiva 85/337/CEE del Consejo, las Directivas 2000/60/CE, 2001/80/CE, 2004/35/CE, 2006/12/CE, 2008/1/CE y el Reglamento (CE) n o 1013/2006 del Parlamento Europeo y del Consejo (Texto pertinente a efectos del EEE)</w:t>
      </w:r>
      <w:r w:rsidRPr="007643C1">
        <w:rPr>
          <w:rFonts w:asciiTheme="minorHAnsi" w:eastAsiaTheme="minorHAnsi" w:hAnsiTheme="minorHAnsi" w:cstheme="minorBidi"/>
          <w:b w:val="0"/>
          <w:bCs w:val="0"/>
          <w:sz w:val="22"/>
          <w:szCs w:val="22"/>
          <w:lang w:eastAsia="en-US"/>
        </w:rPr>
        <w:fldChar w:fldCharType="end"/>
      </w:r>
      <w:bookmarkEnd w:id="0"/>
    </w:p>
    <w:p w14:paraId="063F1792" w14:textId="3BD09C46" w:rsidR="00214CA2" w:rsidRDefault="00214CA2" w:rsidP="00214CA2">
      <w:pPr>
        <w:pStyle w:val="Ttulo2"/>
        <w:shd w:val="clear" w:color="auto" w:fill="FFFFFF"/>
        <w:spacing w:before="0" w:beforeAutospacing="0" w:after="0" w:afterAutospacing="0"/>
        <w:ind w:left="720"/>
        <w:rPr>
          <w:rFonts w:asciiTheme="minorHAnsi" w:eastAsiaTheme="minorHAnsi" w:hAnsiTheme="minorHAnsi" w:cstheme="minorBidi"/>
          <w:b w:val="0"/>
          <w:bCs w:val="0"/>
          <w:sz w:val="22"/>
          <w:szCs w:val="22"/>
          <w:lang w:eastAsia="en-US"/>
        </w:rPr>
      </w:pPr>
    </w:p>
    <w:p w14:paraId="475E20A5" w14:textId="1BC99B1C" w:rsidR="00214CA2" w:rsidRDefault="00214CA2" w:rsidP="00214CA2">
      <w:pPr>
        <w:pStyle w:val="Ttulo2"/>
        <w:shd w:val="clear" w:color="auto" w:fill="FFFFFF"/>
        <w:spacing w:before="0" w:beforeAutospacing="0" w:after="0" w:afterAutospacing="0"/>
        <w:ind w:left="708"/>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Básicamente, su finalidad es estabilizar las concentraciones de gases </w:t>
      </w:r>
      <w:r>
        <w:rPr>
          <w:rFonts w:asciiTheme="minorHAnsi" w:eastAsiaTheme="minorHAnsi" w:hAnsiTheme="minorHAnsi" w:cstheme="minorBidi"/>
          <w:b w:val="0"/>
          <w:bCs w:val="0"/>
          <w:sz w:val="22"/>
          <w:szCs w:val="22"/>
          <w:lang w:eastAsia="en-US"/>
        </w:rPr>
        <w:t>de</w:t>
      </w:r>
      <w:r>
        <w:rPr>
          <w:rFonts w:asciiTheme="minorHAnsi" w:eastAsiaTheme="minorHAnsi" w:hAnsiTheme="minorHAnsi" w:cstheme="minorBidi"/>
          <w:b w:val="0"/>
          <w:bCs w:val="0"/>
          <w:sz w:val="22"/>
          <w:szCs w:val="22"/>
          <w:lang w:eastAsia="en-US"/>
        </w:rPr>
        <w:t xml:space="preserve"> efecto invernadero en la atmósfera.</w:t>
      </w:r>
    </w:p>
    <w:p w14:paraId="70AC0287" w14:textId="11E9D974" w:rsidR="00214CA2" w:rsidRDefault="00214CA2" w:rsidP="00214CA2">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5EB28597" w14:textId="065201AC" w:rsidR="00214CA2" w:rsidRDefault="00214CA2" w:rsidP="00214CA2">
      <w:pPr>
        <w:pStyle w:val="Ttulo2"/>
        <w:numPr>
          <w:ilvl w:val="0"/>
          <w:numId w:val="7"/>
        </w:numPr>
        <w:shd w:val="clear" w:color="auto" w:fill="FFFFFF"/>
        <w:spacing w:before="0" w:beforeAutospacing="0" w:after="0" w:afterAutospacing="0"/>
        <w:rPr>
          <w:rFonts w:asciiTheme="minorHAnsi" w:eastAsiaTheme="minorHAnsi" w:hAnsiTheme="minorHAnsi" w:cstheme="minorBidi"/>
          <w:b w:val="0"/>
          <w:bCs w:val="0"/>
          <w:sz w:val="22"/>
          <w:szCs w:val="22"/>
          <w:lang w:eastAsia="en-US"/>
        </w:rPr>
      </w:pPr>
      <w:hyperlink r:id="rId7" w:history="1">
        <w:r w:rsidRPr="00214CA2">
          <w:rPr>
            <w:rFonts w:asciiTheme="minorHAnsi" w:eastAsiaTheme="minorHAnsi" w:hAnsiTheme="minorHAnsi" w:cstheme="minorBidi"/>
            <w:b w:val="0"/>
            <w:bCs w:val="0"/>
            <w:sz w:val="22"/>
            <w:szCs w:val="22"/>
            <w:lang w:eastAsia="en-US"/>
          </w:rPr>
          <w:t>Directiva 2014/53/UE del Parlamento Europeo y del Consejo, de 16 de abril de 2014, relativa a la armonización de las legislaciones de los Estados miembros sobre la comercialización de equipos radioeléctricos, y por la que se deroga la Directiva 1999/5/CE Texto pertinente a efectos del EEE</w:t>
        </w:r>
      </w:hyperlink>
    </w:p>
    <w:p w14:paraId="1316DEFB" w14:textId="6F74FF33" w:rsidR="00214CA2" w:rsidRDefault="00214CA2" w:rsidP="00214CA2">
      <w:pPr>
        <w:pStyle w:val="Ttulo2"/>
        <w:shd w:val="clear" w:color="auto" w:fill="FFFFFF"/>
        <w:spacing w:before="0" w:beforeAutospacing="0" w:after="0" w:afterAutospacing="0"/>
        <w:ind w:left="720"/>
        <w:rPr>
          <w:rFonts w:asciiTheme="minorHAnsi" w:eastAsiaTheme="minorHAnsi" w:hAnsiTheme="minorHAnsi" w:cstheme="minorBidi"/>
          <w:b w:val="0"/>
          <w:bCs w:val="0"/>
          <w:sz w:val="22"/>
          <w:szCs w:val="22"/>
          <w:lang w:eastAsia="en-US"/>
        </w:rPr>
      </w:pPr>
    </w:p>
    <w:p w14:paraId="3248E120" w14:textId="79DA3981" w:rsidR="004D4B34" w:rsidRDefault="00214CA2" w:rsidP="004D4B34">
      <w:pPr>
        <w:pStyle w:val="Ttulo2"/>
        <w:shd w:val="clear" w:color="auto" w:fill="FFFFFF"/>
        <w:spacing w:before="0" w:beforeAutospacing="0" w:after="0" w:afterAutospacing="0"/>
        <w:ind w:left="72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Su finalidad</w:t>
      </w:r>
      <w:r w:rsidR="004D4B34">
        <w:rPr>
          <w:rFonts w:asciiTheme="minorHAnsi" w:eastAsiaTheme="minorHAnsi" w:hAnsiTheme="minorHAnsi" w:cstheme="minorBidi"/>
          <w:b w:val="0"/>
          <w:bCs w:val="0"/>
          <w:sz w:val="22"/>
          <w:szCs w:val="22"/>
          <w:lang w:eastAsia="en-US"/>
        </w:rPr>
        <w:t xml:space="preserve"> es la de establecer requisitos </w:t>
      </w:r>
      <w:r w:rsidR="000516CC">
        <w:rPr>
          <w:rFonts w:asciiTheme="minorHAnsi" w:eastAsiaTheme="minorHAnsi" w:hAnsiTheme="minorHAnsi" w:cstheme="minorBidi"/>
          <w:b w:val="0"/>
          <w:bCs w:val="0"/>
          <w:sz w:val="22"/>
          <w:szCs w:val="22"/>
          <w:lang w:eastAsia="en-US"/>
        </w:rPr>
        <w:t>para</w:t>
      </w:r>
      <w:r w:rsidR="004D4B34">
        <w:rPr>
          <w:rFonts w:asciiTheme="minorHAnsi" w:eastAsiaTheme="minorHAnsi" w:hAnsiTheme="minorHAnsi" w:cstheme="minorBidi"/>
          <w:b w:val="0"/>
          <w:bCs w:val="0"/>
          <w:sz w:val="22"/>
          <w:szCs w:val="22"/>
          <w:lang w:eastAsia="en-US"/>
        </w:rPr>
        <w:t xml:space="preserve"> garantizar la seguridad de los terminales de telecomunicaciones que s</w:t>
      </w:r>
      <w:r w:rsidR="000516CC">
        <w:rPr>
          <w:rFonts w:asciiTheme="minorHAnsi" w:eastAsiaTheme="minorHAnsi" w:hAnsiTheme="minorHAnsi" w:cstheme="minorBidi"/>
          <w:b w:val="0"/>
          <w:bCs w:val="0"/>
          <w:sz w:val="22"/>
          <w:szCs w:val="22"/>
          <w:lang w:eastAsia="en-US"/>
        </w:rPr>
        <w:t>on</w:t>
      </w:r>
      <w:r w:rsidR="004D4B34">
        <w:rPr>
          <w:rFonts w:asciiTheme="minorHAnsi" w:eastAsiaTheme="minorHAnsi" w:hAnsiTheme="minorHAnsi" w:cstheme="minorBidi"/>
          <w:b w:val="0"/>
          <w:bCs w:val="0"/>
          <w:sz w:val="22"/>
          <w:szCs w:val="22"/>
          <w:lang w:eastAsia="en-US"/>
        </w:rPr>
        <w:t xml:space="preserve"> comercializados en la Unión Europea. </w:t>
      </w:r>
    </w:p>
    <w:p w14:paraId="37F0BA2E" w14:textId="77777777" w:rsidR="004D4B34" w:rsidRDefault="004D4B34" w:rsidP="004D4B34">
      <w:pPr>
        <w:pStyle w:val="Ttulo2"/>
        <w:shd w:val="clear" w:color="auto" w:fill="FFFFFF"/>
        <w:spacing w:before="0" w:beforeAutospacing="0" w:after="0" w:afterAutospacing="0"/>
        <w:ind w:left="720"/>
        <w:rPr>
          <w:rFonts w:asciiTheme="minorHAnsi" w:eastAsiaTheme="minorHAnsi" w:hAnsiTheme="minorHAnsi" w:cstheme="minorBidi"/>
          <w:b w:val="0"/>
          <w:bCs w:val="0"/>
          <w:sz w:val="22"/>
          <w:szCs w:val="22"/>
          <w:lang w:eastAsia="en-US"/>
        </w:rPr>
      </w:pPr>
    </w:p>
    <w:p w14:paraId="297BD5FD" w14:textId="70692699" w:rsidR="004D4B34" w:rsidRDefault="004D4B34" w:rsidP="004D4B34">
      <w:pPr>
        <w:pStyle w:val="Ttulo2"/>
        <w:numPr>
          <w:ilvl w:val="0"/>
          <w:numId w:val="7"/>
        </w:numPr>
        <w:shd w:val="clear" w:color="auto" w:fill="FFFFFF"/>
        <w:spacing w:before="0" w:beforeAutospacing="0" w:after="0" w:afterAutospacing="0"/>
        <w:rPr>
          <w:rFonts w:asciiTheme="minorHAnsi" w:eastAsiaTheme="minorHAnsi" w:hAnsiTheme="minorHAnsi" w:cstheme="minorBidi"/>
          <w:b w:val="0"/>
          <w:bCs w:val="0"/>
          <w:sz w:val="22"/>
          <w:szCs w:val="22"/>
          <w:lang w:eastAsia="en-US"/>
        </w:rPr>
      </w:pPr>
      <w:hyperlink r:id="rId8" w:history="1">
        <w:r w:rsidRPr="004D4B34">
          <w:rPr>
            <w:rFonts w:asciiTheme="minorHAnsi" w:eastAsiaTheme="minorHAnsi" w:hAnsiTheme="minorHAnsi" w:cstheme="minorBidi"/>
            <w:b w:val="0"/>
            <w:bCs w:val="0"/>
            <w:sz w:val="22"/>
            <w:szCs w:val="22"/>
            <w:lang w:eastAsia="en-US"/>
          </w:rPr>
          <w:t>Directiva 2007/45/CE del Parlamento Europeo y del Consejo, de 5 de septiembre de 2007, por la que se establecen normas relativas a las cantidades nominales para</w:t>
        </w:r>
        <w:r>
          <w:rPr>
            <w:rFonts w:asciiTheme="minorHAnsi" w:eastAsiaTheme="minorHAnsi" w:hAnsiTheme="minorHAnsi" w:cstheme="minorBidi"/>
            <w:b w:val="0"/>
            <w:bCs w:val="0"/>
            <w:sz w:val="22"/>
            <w:szCs w:val="22"/>
            <w:lang w:eastAsia="en-US"/>
          </w:rPr>
          <w:t xml:space="preserve"> </w:t>
        </w:r>
        <w:r w:rsidRPr="004D4B34">
          <w:rPr>
            <w:rFonts w:asciiTheme="minorHAnsi" w:eastAsiaTheme="minorHAnsi" w:hAnsiTheme="minorHAnsi" w:cstheme="minorBidi"/>
            <w:b w:val="0"/>
            <w:bCs w:val="0"/>
            <w:sz w:val="22"/>
            <w:szCs w:val="22"/>
            <w:lang w:eastAsia="en-US"/>
          </w:rPr>
          <w:t>productos preenvasados, se derogan las Directivas 75/106/CEE y 80/232/CEE del Consejo y se modifica la Directiva 76/211/CEE del Consejo</w:t>
        </w:r>
      </w:hyperlink>
    </w:p>
    <w:p w14:paraId="0CFAA276" w14:textId="06374B7B" w:rsidR="004D4B34" w:rsidRDefault="004D4B34" w:rsidP="004D4B34">
      <w:pPr>
        <w:pStyle w:val="Ttulo2"/>
        <w:shd w:val="clear" w:color="auto" w:fill="FFFFFF"/>
        <w:spacing w:before="0" w:beforeAutospacing="0" w:after="0" w:afterAutospacing="0"/>
        <w:ind w:left="720"/>
        <w:rPr>
          <w:rFonts w:asciiTheme="minorHAnsi" w:eastAsiaTheme="minorHAnsi" w:hAnsiTheme="minorHAnsi" w:cstheme="minorBidi"/>
          <w:b w:val="0"/>
          <w:bCs w:val="0"/>
          <w:sz w:val="22"/>
          <w:szCs w:val="22"/>
          <w:lang w:eastAsia="en-US"/>
        </w:rPr>
      </w:pPr>
    </w:p>
    <w:p w14:paraId="12577385" w14:textId="378CC5E2" w:rsidR="004D4B34" w:rsidRDefault="004D4B34" w:rsidP="000516CC">
      <w:pPr>
        <w:pStyle w:val="Ttulo2"/>
        <w:shd w:val="clear" w:color="auto" w:fill="FFFFFF"/>
        <w:spacing w:before="0" w:beforeAutospacing="0" w:after="0" w:afterAutospacing="0"/>
        <w:ind w:left="72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Su finalidad es </w:t>
      </w:r>
      <w:r w:rsidR="000516CC">
        <w:rPr>
          <w:rFonts w:asciiTheme="minorHAnsi" w:eastAsiaTheme="minorHAnsi" w:hAnsiTheme="minorHAnsi" w:cstheme="minorBidi"/>
          <w:b w:val="0"/>
          <w:bCs w:val="0"/>
          <w:sz w:val="22"/>
          <w:szCs w:val="22"/>
          <w:lang w:eastAsia="en-US"/>
        </w:rPr>
        <w:t>proteger la salud humana y el medio ambiente a través de la regulación y el control de sustancias químicas.</w:t>
      </w:r>
    </w:p>
    <w:p w14:paraId="62CB581C" w14:textId="2E002521" w:rsidR="004D4B34" w:rsidRDefault="004D4B34" w:rsidP="004D4B34">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6005E176" w14:textId="7CCC6513" w:rsidR="004D4B34" w:rsidRDefault="004D4B34" w:rsidP="004D4B34">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b) </w:t>
      </w:r>
      <w:r w:rsidR="00EA53B4">
        <w:rPr>
          <w:rFonts w:asciiTheme="minorHAnsi" w:eastAsiaTheme="minorHAnsi" w:hAnsiTheme="minorHAnsi" w:cstheme="minorBidi"/>
          <w:b w:val="0"/>
          <w:bCs w:val="0"/>
          <w:sz w:val="22"/>
          <w:szCs w:val="22"/>
          <w:lang w:eastAsia="en-US"/>
        </w:rPr>
        <w:t>Un Reglamento Europeo, al igual que una ley, establece una obligación a cada uno de los estados miembros, son obligatorios y directamente aplicables. A diferencia de un reglamento, una directiva es algo que los estados miembros deben cumplir, pero el medio para lograrlo es de su elección.</w:t>
      </w:r>
    </w:p>
    <w:p w14:paraId="1C8B0FFE" w14:textId="45DED68B" w:rsidR="004D4B34" w:rsidRDefault="004D4B34" w:rsidP="004D4B34">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006E6D4C" w14:textId="77777777" w:rsidR="00EA53B4" w:rsidRDefault="00EA53B4" w:rsidP="00EA53B4">
      <w:r>
        <w:t>Para este ejercicio he utilizado la siguiente referencia bibliográfica:</w:t>
      </w:r>
    </w:p>
    <w:p w14:paraId="4A582F37" w14:textId="64D71C27" w:rsidR="004D4B34" w:rsidRDefault="004D4B34" w:rsidP="004D4B34">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hyperlink r:id="rId9" w:history="1">
        <w:r w:rsidRPr="005379EB">
          <w:rPr>
            <w:rStyle w:val="Hipervnculo"/>
            <w:rFonts w:asciiTheme="minorHAnsi" w:eastAsiaTheme="minorHAnsi" w:hAnsiTheme="minorHAnsi" w:cstheme="minorBidi"/>
            <w:b w:val="0"/>
            <w:bCs w:val="0"/>
            <w:sz w:val="22"/>
            <w:szCs w:val="22"/>
            <w:lang w:eastAsia="en-US"/>
          </w:rPr>
          <w:t>https://eur-lex.europa.eu/search.html?scope=EURLEX&amp;text=Directiva+comunitaria&amp;lang=es&amp;type=quick&amp;qid=1676235565058</w:t>
        </w:r>
      </w:hyperlink>
    </w:p>
    <w:p w14:paraId="2B5FDF35" w14:textId="77777777" w:rsidR="007B25DE" w:rsidRDefault="007B25DE" w:rsidP="004D4B34">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372E8FC1" w14:textId="22AA4E73" w:rsidR="004D4B34" w:rsidRDefault="004D4B34" w:rsidP="004D4B34">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08FBE79B" w14:textId="2DF5D851" w:rsidR="00214CA2" w:rsidRDefault="00EA53B4" w:rsidP="00EA53B4">
      <w:pPr>
        <w:rPr>
          <w:color w:val="4472C4" w:themeColor="accent1"/>
          <w:sz w:val="28"/>
          <w:szCs w:val="28"/>
        </w:rPr>
      </w:pPr>
      <w:r w:rsidRPr="00EA53B4">
        <w:rPr>
          <w:color w:val="4472C4" w:themeColor="accent1"/>
          <w:sz w:val="28"/>
          <w:szCs w:val="28"/>
        </w:rPr>
        <w:t>Ejercicio 10.</w:t>
      </w:r>
    </w:p>
    <w:p w14:paraId="4158EAF1" w14:textId="480F89C1" w:rsidR="007853AF" w:rsidRDefault="007B25DE" w:rsidP="007853A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7B25DE">
        <w:rPr>
          <w:rFonts w:asciiTheme="minorHAnsi" w:eastAsiaTheme="minorHAnsi" w:hAnsiTheme="minorHAnsi" w:cstheme="minorBidi"/>
          <w:b w:val="0"/>
          <w:bCs w:val="0"/>
          <w:sz w:val="22"/>
          <w:szCs w:val="22"/>
          <w:lang w:eastAsia="en-US"/>
        </w:rPr>
        <w:t>La diferencia entre jueces y magistrados es que</w:t>
      </w:r>
      <w:r>
        <w:rPr>
          <w:rFonts w:asciiTheme="minorHAnsi" w:eastAsiaTheme="minorHAnsi" w:hAnsiTheme="minorHAnsi" w:cstheme="minorBidi"/>
          <w:b w:val="0"/>
          <w:bCs w:val="0"/>
          <w:sz w:val="22"/>
          <w:szCs w:val="22"/>
          <w:lang w:eastAsia="en-US"/>
        </w:rPr>
        <w:t xml:space="preserve"> los jueces serán nombrados</w:t>
      </w:r>
      <w:r w:rsidR="004B554E">
        <w:rPr>
          <w:rFonts w:asciiTheme="minorHAnsi" w:eastAsiaTheme="minorHAnsi" w:hAnsiTheme="minorHAnsi" w:cstheme="minorBidi"/>
          <w:b w:val="0"/>
          <w:bCs w:val="0"/>
          <w:sz w:val="22"/>
          <w:szCs w:val="22"/>
          <w:lang w:eastAsia="en-US"/>
        </w:rPr>
        <w:t xml:space="preserve"> por el Consejo General del Poder Judicial mediante Orden, a diferencia de los magistrados que serán nombrados por Real Decreto, a propuesta de dicho Consejo. </w:t>
      </w:r>
    </w:p>
    <w:p w14:paraId="17249512" w14:textId="717792DA" w:rsidR="007853AF" w:rsidRDefault="007853AF" w:rsidP="007853A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1349A1B2" w14:textId="16FA321B" w:rsidR="007853AF" w:rsidRDefault="007853AF" w:rsidP="007853A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El órgano de gobierno de los jueces es el Consejo General de Poder Judicial. Su presidente será el mismo que el del Tribunal supremo, y este será nombrado por el Rey mediante Real Decreto refrendado por el presidente del Gobierno.</w:t>
      </w:r>
    </w:p>
    <w:p w14:paraId="5827C3E6" w14:textId="77777777" w:rsidR="007853AF" w:rsidRDefault="007853AF" w:rsidP="007853A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02CEDF0C" w14:textId="136FBA9D" w:rsidR="007853AF" w:rsidRDefault="007853AF" w:rsidP="007853AF">
      <w:pPr>
        <w:rPr>
          <w:b/>
          <w:bCs/>
        </w:rPr>
      </w:pPr>
      <w:r>
        <w:t>Para este ejercicio he utilizado la siguiente referencia bibliográfica:</w:t>
      </w:r>
    </w:p>
    <w:p w14:paraId="132E689E" w14:textId="23D066AB" w:rsidR="007853AF" w:rsidRDefault="007853AF" w:rsidP="007853A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hyperlink r:id="rId10" w:history="1">
        <w:r w:rsidRPr="005379EB">
          <w:rPr>
            <w:rStyle w:val="Hipervnculo"/>
            <w:rFonts w:asciiTheme="minorHAnsi" w:eastAsiaTheme="minorHAnsi" w:hAnsiTheme="minorHAnsi" w:cstheme="minorBidi"/>
            <w:b w:val="0"/>
            <w:bCs w:val="0"/>
            <w:sz w:val="22"/>
            <w:szCs w:val="22"/>
            <w:lang w:eastAsia="en-US"/>
          </w:rPr>
          <w:t>https://www.boe.es/buscar/act.php?id=BOE-A-1985-12666&amp;p=20221223&amp;tn=1#atres</w:t>
        </w:r>
        <w:r w:rsidRPr="005379EB">
          <w:rPr>
            <w:rStyle w:val="Hipervnculo"/>
            <w:rFonts w:asciiTheme="minorHAnsi" w:eastAsiaTheme="minorHAnsi" w:hAnsiTheme="minorHAnsi" w:cstheme="minorBidi"/>
            <w:b w:val="0"/>
            <w:bCs w:val="0"/>
            <w:sz w:val="22"/>
            <w:szCs w:val="22"/>
            <w:lang w:eastAsia="en-US"/>
          </w:rPr>
          <w:t>c</w:t>
        </w:r>
        <w:r w:rsidRPr="005379EB">
          <w:rPr>
            <w:rStyle w:val="Hipervnculo"/>
            <w:rFonts w:asciiTheme="minorHAnsi" w:eastAsiaTheme="minorHAnsi" w:hAnsiTheme="minorHAnsi" w:cstheme="minorBidi"/>
            <w:b w:val="0"/>
            <w:bCs w:val="0"/>
            <w:sz w:val="22"/>
            <w:szCs w:val="22"/>
            <w:lang w:eastAsia="en-US"/>
          </w:rPr>
          <w:t>ientosdieciseis</w:t>
        </w:r>
      </w:hyperlink>
    </w:p>
    <w:p w14:paraId="6B9F4EC2" w14:textId="77777777" w:rsidR="007853AF" w:rsidRDefault="007853AF" w:rsidP="007853A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63BA7BAD" w14:textId="2E816EE6" w:rsidR="007853AF" w:rsidRDefault="007853AF" w:rsidP="007853A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7853AF">
        <w:rPr>
          <w:rFonts w:asciiTheme="minorHAnsi" w:eastAsiaTheme="minorHAnsi" w:hAnsiTheme="minorHAnsi" w:cstheme="minorBidi"/>
          <w:b w:val="0"/>
          <w:bCs w:val="0"/>
          <w:sz w:val="22"/>
          <w:szCs w:val="22"/>
          <w:lang w:eastAsia="en-US"/>
        </w:rPr>
        <w:t xml:space="preserve">He empleado </w:t>
      </w:r>
      <w:r>
        <w:rPr>
          <w:rFonts w:asciiTheme="minorHAnsi" w:eastAsiaTheme="minorHAnsi" w:hAnsiTheme="minorHAnsi" w:cstheme="minorBidi"/>
          <w:b w:val="0"/>
          <w:bCs w:val="0"/>
          <w:sz w:val="22"/>
          <w:szCs w:val="22"/>
          <w:lang w:eastAsia="en-US"/>
        </w:rPr>
        <w:t>los</w:t>
      </w:r>
      <w:r w:rsidRPr="007853AF">
        <w:rPr>
          <w:rFonts w:asciiTheme="minorHAnsi" w:eastAsiaTheme="minorHAnsi" w:hAnsiTheme="minorHAnsi" w:cstheme="minorBidi"/>
          <w:b w:val="0"/>
          <w:bCs w:val="0"/>
          <w:sz w:val="22"/>
          <w:szCs w:val="22"/>
          <w:lang w:eastAsia="en-US"/>
        </w:rPr>
        <w:t xml:space="preserve"> art. </w:t>
      </w:r>
      <w:r>
        <w:rPr>
          <w:rFonts w:asciiTheme="minorHAnsi" w:eastAsiaTheme="minorHAnsi" w:hAnsiTheme="minorHAnsi" w:cstheme="minorBidi"/>
          <w:b w:val="0"/>
          <w:bCs w:val="0"/>
          <w:sz w:val="22"/>
          <w:szCs w:val="22"/>
          <w:lang w:eastAsia="en-US"/>
        </w:rPr>
        <w:t>316, 565 y 586.</w:t>
      </w:r>
    </w:p>
    <w:p w14:paraId="36882D18" w14:textId="2136CCC2" w:rsidR="000164C9" w:rsidRDefault="000164C9" w:rsidP="007853A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4E59FC8D" w14:textId="6D1EEB27" w:rsidR="000164C9" w:rsidRDefault="000164C9" w:rsidP="000164C9">
      <w:pPr>
        <w:rPr>
          <w:color w:val="4472C4" w:themeColor="accent1"/>
          <w:sz w:val="28"/>
          <w:szCs w:val="28"/>
        </w:rPr>
      </w:pPr>
      <w:r w:rsidRPr="000164C9">
        <w:rPr>
          <w:color w:val="4472C4" w:themeColor="accent1"/>
          <w:sz w:val="28"/>
          <w:szCs w:val="28"/>
        </w:rPr>
        <w:t>Ejercicio 11.</w:t>
      </w:r>
    </w:p>
    <w:p w14:paraId="56302EE7" w14:textId="5CC98A7F" w:rsidR="000164C9" w:rsidRDefault="000164C9"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0516CC">
        <w:rPr>
          <w:rFonts w:asciiTheme="minorHAnsi" w:eastAsiaTheme="minorHAnsi" w:hAnsiTheme="minorHAnsi" w:cstheme="minorBidi"/>
          <w:b w:val="0"/>
          <w:bCs w:val="0"/>
          <w:sz w:val="22"/>
          <w:szCs w:val="22"/>
          <w:lang w:eastAsia="en-US"/>
        </w:rPr>
        <w:t xml:space="preserve">La Audiencia Nacional es un órgano jurisdiccional de España que tiene jurisdicción en todo el territorio nacional. Esta constituye un Tribunal centralizado y especializado </w:t>
      </w:r>
      <w:r w:rsidR="000516CC">
        <w:rPr>
          <w:rFonts w:asciiTheme="minorHAnsi" w:eastAsiaTheme="minorHAnsi" w:hAnsiTheme="minorHAnsi" w:cstheme="minorBidi"/>
          <w:b w:val="0"/>
          <w:bCs w:val="0"/>
          <w:sz w:val="22"/>
          <w:szCs w:val="22"/>
          <w:lang w:eastAsia="en-US"/>
        </w:rPr>
        <w:t xml:space="preserve">en ciertas </w:t>
      </w:r>
      <w:r w:rsidRPr="000516CC">
        <w:rPr>
          <w:rFonts w:asciiTheme="minorHAnsi" w:eastAsiaTheme="minorHAnsi" w:hAnsiTheme="minorHAnsi" w:cstheme="minorBidi"/>
          <w:b w:val="0"/>
          <w:bCs w:val="0"/>
          <w:sz w:val="22"/>
          <w:szCs w:val="22"/>
          <w:lang w:eastAsia="en-US"/>
        </w:rPr>
        <w:t>materias atribuidas por Ley.</w:t>
      </w:r>
      <w:r w:rsidR="000516CC">
        <w:rPr>
          <w:rFonts w:asciiTheme="minorHAnsi" w:eastAsiaTheme="minorHAnsi" w:hAnsiTheme="minorHAnsi" w:cstheme="minorBidi"/>
          <w:b w:val="0"/>
          <w:bCs w:val="0"/>
          <w:sz w:val="22"/>
          <w:szCs w:val="22"/>
          <w:lang w:eastAsia="en-US"/>
        </w:rPr>
        <w:t xml:space="preserve"> Tiene su sede en Madrid, con jurisdicción en toda España.  Está regulada por la Ley Orgánica 6/1985, de 1 de Julio, del Poder Judicial. </w:t>
      </w:r>
    </w:p>
    <w:p w14:paraId="3AD312E3" w14:textId="4E8865C1" w:rsidR="009B69C8" w:rsidRDefault="009B69C8"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49D92148" w14:textId="220179B4" w:rsidR="005F170E" w:rsidRDefault="0069439B" w:rsidP="0069439B">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La Audiencia nacional está integrada por la</w:t>
      </w:r>
      <w:r w:rsidR="00847AE0">
        <w:rPr>
          <w:rFonts w:asciiTheme="minorHAnsi" w:eastAsiaTheme="minorHAnsi" w:hAnsiTheme="minorHAnsi" w:cstheme="minorBidi"/>
          <w:b w:val="0"/>
          <w:bCs w:val="0"/>
          <w:sz w:val="22"/>
          <w:szCs w:val="22"/>
          <w:lang w:eastAsia="en-US"/>
        </w:rPr>
        <w:t>s</w:t>
      </w:r>
      <w:r>
        <w:rPr>
          <w:rFonts w:asciiTheme="minorHAnsi" w:eastAsiaTheme="minorHAnsi" w:hAnsiTheme="minorHAnsi" w:cstheme="minorBidi"/>
          <w:b w:val="0"/>
          <w:bCs w:val="0"/>
          <w:sz w:val="22"/>
          <w:szCs w:val="22"/>
          <w:lang w:eastAsia="en-US"/>
        </w:rPr>
        <w:t xml:space="preserve"> siguientes salas; de apelación, de lo Penal, de lo contencioso-Administrativo y de lo Social.</w:t>
      </w:r>
    </w:p>
    <w:p w14:paraId="2DA6A491" w14:textId="77777777" w:rsidR="00847AE0" w:rsidRDefault="00847AE0" w:rsidP="0069439B">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5D5BBFD9" w14:textId="50BAED43" w:rsidR="000516CC" w:rsidRDefault="00847AE0" w:rsidP="00847AE0">
      <w:pPr>
        <w:rPr>
          <w:b/>
          <w:bCs/>
        </w:rPr>
      </w:pPr>
      <w:r>
        <w:t>Para este ejercicio he utilizado la</w:t>
      </w:r>
      <w:r w:rsidR="000E2574">
        <w:t>s</w:t>
      </w:r>
      <w:r>
        <w:t xml:space="preserve"> siguiente</w:t>
      </w:r>
      <w:r w:rsidR="000E2574">
        <w:t xml:space="preserve">s </w:t>
      </w:r>
      <w:r>
        <w:t>referenc</w:t>
      </w:r>
      <w:r w:rsidR="000E2574">
        <w:t>i</w:t>
      </w:r>
      <w:r>
        <w:t>a</w:t>
      </w:r>
      <w:r w:rsidR="000E2574">
        <w:t>s</w:t>
      </w:r>
      <w:r>
        <w:t xml:space="preserve"> bibliográfica</w:t>
      </w:r>
      <w:r w:rsidR="000E2574">
        <w:t>s</w:t>
      </w:r>
      <w:r>
        <w:t>:</w:t>
      </w:r>
    </w:p>
    <w:p w14:paraId="40E0F250" w14:textId="31991C50" w:rsidR="000516CC" w:rsidRDefault="000516CC"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hyperlink r:id="rId11" w:history="1">
        <w:r w:rsidRPr="005379EB">
          <w:rPr>
            <w:rStyle w:val="Hipervnculo"/>
            <w:rFonts w:asciiTheme="minorHAnsi" w:eastAsiaTheme="minorHAnsi" w:hAnsiTheme="minorHAnsi" w:cstheme="minorBidi"/>
            <w:b w:val="0"/>
            <w:bCs w:val="0"/>
            <w:sz w:val="22"/>
            <w:szCs w:val="22"/>
            <w:lang w:eastAsia="en-US"/>
          </w:rPr>
          <w:t>https://www.poderjudicial.es/cgpj/es/Poder-Judicial/Audiencia-Nacional/</w:t>
        </w:r>
      </w:hyperlink>
    </w:p>
    <w:p w14:paraId="59DFF018" w14:textId="7F0AAA0C" w:rsidR="00847AE0" w:rsidRDefault="00847AE0"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572A8CB0" w14:textId="02CD358A" w:rsidR="00847AE0" w:rsidRDefault="00847AE0"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hyperlink r:id="rId12" w:history="1">
        <w:r w:rsidRPr="005379EB">
          <w:rPr>
            <w:rStyle w:val="Hipervnculo"/>
            <w:rFonts w:asciiTheme="minorHAnsi" w:eastAsiaTheme="minorHAnsi" w:hAnsiTheme="minorHAnsi" w:cstheme="minorBidi"/>
            <w:b w:val="0"/>
            <w:bCs w:val="0"/>
            <w:sz w:val="22"/>
            <w:szCs w:val="22"/>
            <w:lang w:eastAsia="en-US"/>
          </w:rPr>
          <w:t>https://www.boe.es/buscar/act.php?id=BOE-A-1985-12666&amp;p=20221223&amp;tn=1</w:t>
        </w:r>
        <w:r w:rsidRPr="005379EB">
          <w:rPr>
            <w:rStyle w:val="Hipervnculo"/>
            <w:rFonts w:asciiTheme="minorHAnsi" w:eastAsiaTheme="minorHAnsi" w:hAnsiTheme="minorHAnsi" w:cstheme="minorBidi"/>
            <w:b w:val="0"/>
            <w:bCs w:val="0"/>
            <w:sz w:val="22"/>
            <w:szCs w:val="22"/>
            <w:lang w:eastAsia="en-US"/>
          </w:rPr>
          <w:t>#</w:t>
        </w:r>
        <w:r w:rsidRPr="005379EB">
          <w:rPr>
            <w:rStyle w:val="Hipervnculo"/>
            <w:rFonts w:asciiTheme="minorHAnsi" w:eastAsiaTheme="minorHAnsi" w:hAnsiTheme="minorHAnsi" w:cstheme="minorBidi"/>
            <w:b w:val="0"/>
            <w:bCs w:val="0"/>
            <w:sz w:val="22"/>
            <w:szCs w:val="22"/>
            <w:lang w:eastAsia="en-US"/>
          </w:rPr>
          <w:t>asesentaydos</w:t>
        </w:r>
      </w:hyperlink>
    </w:p>
    <w:p w14:paraId="158B925A" w14:textId="267A4869" w:rsidR="00847AE0" w:rsidRDefault="00847AE0"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3C38BA16" w14:textId="56A54FD2" w:rsidR="00847AE0" w:rsidRDefault="00847AE0"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Del último enlace hemos utilizado los art. 62 y 64.</w:t>
      </w:r>
    </w:p>
    <w:p w14:paraId="1EF41AEF" w14:textId="77777777" w:rsidR="00847AE0" w:rsidRDefault="00847AE0"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7387540D" w14:textId="29B0732E" w:rsidR="00847AE0" w:rsidRDefault="00847AE0"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3A2FF1A4" w14:textId="682A1B6A" w:rsidR="00847AE0" w:rsidRDefault="00847AE0" w:rsidP="00847AE0">
      <w:pPr>
        <w:rPr>
          <w:color w:val="4472C4" w:themeColor="accent1"/>
          <w:sz w:val="28"/>
          <w:szCs w:val="28"/>
        </w:rPr>
      </w:pPr>
      <w:r w:rsidRPr="00847AE0">
        <w:rPr>
          <w:color w:val="4472C4" w:themeColor="accent1"/>
          <w:sz w:val="28"/>
          <w:szCs w:val="28"/>
        </w:rPr>
        <w:lastRenderedPageBreak/>
        <w:t>Ejercicio 12.</w:t>
      </w:r>
    </w:p>
    <w:p w14:paraId="326A9876" w14:textId="25DB7F60" w:rsidR="00847AE0" w:rsidRDefault="004445BB" w:rsidP="006A368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a) </w:t>
      </w:r>
      <w:r w:rsidR="006A368F" w:rsidRPr="006A368F">
        <w:rPr>
          <w:rFonts w:asciiTheme="minorHAnsi" w:eastAsiaTheme="minorHAnsi" w:hAnsiTheme="minorHAnsi" w:cstheme="minorBidi"/>
          <w:b w:val="0"/>
          <w:bCs w:val="0"/>
          <w:sz w:val="22"/>
          <w:szCs w:val="22"/>
          <w:lang w:eastAsia="en-US"/>
        </w:rPr>
        <w:t>En España, podemos decir que un juez de instrucción es como un juez de “investigación”, pues es el encargado de buscar prueba</w:t>
      </w:r>
      <w:r w:rsidR="006A368F">
        <w:rPr>
          <w:rFonts w:asciiTheme="minorHAnsi" w:eastAsiaTheme="minorHAnsi" w:hAnsiTheme="minorHAnsi" w:cstheme="minorBidi"/>
          <w:b w:val="0"/>
          <w:bCs w:val="0"/>
          <w:sz w:val="22"/>
          <w:szCs w:val="22"/>
          <w:lang w:eastAsia="en-US"/>
        </w:rPr>
        <w:t xml:space="preserve">s para determinar si es posible acusar a un sospechoso o no. A diferencia de lo que ocurre en España, en </w:t>
      </w:r>
      <w:r w:rsidR="00E21598">
        <w:rPr>
          <w:rFonts w:asciiTheme="minorHAnsi" w:eastAsiaTheme="minorHAnsi" w:hAnsiTheme="minorHAnsi" w:cstheme="minorBidi"/>
          <w:b w:val="0"/>
          <w:bCs w:val="0"/>
          <w:sz w:val="22"/>
          <w:szCs w:val="22"/>
          <w:lang w:eastAsia="en-US"/>
        </w:rPr>
        <w:t>EE. UU</w:t>
      </w:r>
      <w:r w:rsidR="006A368F">
        <w:rPr>
          <w:rFonts w:asciiTheme="minorHAnsi" w:eastAsiaTheme="minorHAnsi" w:hAnsiTheme="minorHAnsi" w:cstheme="minorBidi"/>
          <w:b w:val="0"/>
          <w:bCs w:val="0"/>
          <w:sz w:val="22"/>
          <w:szCs w:val="22"/>
          <w:lang w:eastAsia="en-US"/>
        </w:rPr>
        <w:t xml:space="preserve"> es la policía la que se encarga de encontrar las pruebas y hablar co</w:t>
      </w:r>
      <w:r>
        <w:rPr>
          <w:rFonts w:asciiTheme="minorHAnsi" w:eastAsiaTheme="minorHAnsi" w:hAnsiTheme="minorHAnsi" w:cstheme="minorBidi"/>
          <w:b w:val="0"/>
          <w:bCs w:val="0"/>
          <w:sz w:val="22"/>
          <w:szCs w:val="22"/>
          <w:lang w:eastAsia="en-US"/>
        </w:rPr>
        <w:t>n testigos para que después el fiscal pueda determinar si acusar al sospechoso o no.</w:t>
      </w:r>
    </w:p>
    <w:p w14:paraId="77A018FF" w14:textId="53EBDE94" w:rsidR="004445BB" w:rsidRDefault="004445BB" w:rsidP="006A368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1AC6BBFE" w14:textId="10D98C89" w:rsidR="004445BB" w:rsidRDefault="004445BB" w:rsidP="006A368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b) </w:t>
      </w:r>
      <w:r w:rsidR="00E21598">
        <w:rPr>
          <w:rFonts w:asciiTheme="minorHAnsi" w:eastAsiaTheme="minorHAnsi" w:hAnsiTheme="minorHAnsi" w:cstheme="minorBidi"/>
          <w:b w:val="0"/>
          <w:bCs w:val="0"/>
          <w:sz w:val="22"/>
          <w:szCs w:val="22"/>
          <w:lang w:eastAsia="en-US"/>
        </w:rPr>
        <w:t>Según el art. 23 de la Ley 1/2000, de 7 de enero, de Enjuiciamiento Civil, un procurador puede compadecer en cualquier topo de procesos sin necesidad de abogado, cuando lo realice solo para oír y recibir actos de comunicación y efectuar comparecencias no personales de los representados solicitados por el Juez, Tribunal o Letrado de la Administración de justicia. No podrá realizar ninguna solicitud.</w:t>
      </w:r>
    </w:p>
    <w:p w14:paraId="70E0942E" w14:textId="7B5B22F8" w:rsidR="00E21598" w:rsidRDefault="00E21598" w:rsidP="006A368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Corresponde a los procuradores practicar los actos procesales de comunicación y realizar tareas de auxilio y cooperación con los tribunales. Para ello, tendrán la capacidad de certificación y </w:t>
      </w:r>
      <w:r w:rsidR="000E2574">
        <w:rPr>
          <w:rFonts w:asciiTheme="minorHAnsi" w:eastAsiaTheme="minorHAnsi" w:hAnsiTheme="minorHAnsi" w:cstheme="minorBidi"/>
          <w:b w:val="0"/>
          <w:bCs w:val="0"/>
          <w:sz w:val="22"/>
          <w:szCs w:val="22"/>
          <w:lang w:eastAsia="en-US"/>
        </w:rPr>
        <w:t>dispondrán de las credenciales necesarias.</w:t>
      </w:r>
    </w:p>
    <w:p w14:paraId="72598E09" w14:textId="70AAD88B" w:rsidR="000E2574" w:rsidRDefault="000E2574" w:rsidP="006A368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1160C3B6" w14:textId="77777777" w:rsidR="000E2574" w:rsidRDefault="000E2574" w:rsidP="000E2574">
      <w:pPr>
        <w:rPr>
          <w:b/>
          <w:bCs/>
        </w:rPr>
      </w:pPr>
      <w:r>
        <w:t>Para este ejercicio he utilizado las siguientes referencias bibliográficas:</w:t>
      </w:r>
    </w:p>
    <w:p w14:paraId="798F28E3" w14:textId="7B037F98" w:rsidR="000E2574" w:rsidRDefault="000E2574" w:rsidP="006A368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Para el primer apartado he utilizado el </w:t>
      </w:r>
      <w:proofErr w:type="spellStart"/>
      <w:r>
        <w:rPr>
          <w:rFonts w:asciiTheme="minorHAnsi" w:eastAsiaTheme="minorHAnsi" w:hAnsiTheme="minorHAnsi" w:cstheme="minorBidi"/>
          <w:b w:val="0"/>
          <w:bCs w:val="0"/>
          <w:sz w:val="22"/>
          <w:szCs w:val="22"/>
          <w:lang w:eastAsia="en-US"/>
        </w:rPr>
        <w:t>pdf</w:t>
      </w:r>
      <w:proofErr w:type="spellEnd"/>
      <w:r>
        <w:rPr>
          <w:rFonts w:asciiTheme="minorHAnsi" w:eastAsiaTheme="minorHAnsi" w:hAnsiTheme="minorHAnsi" w:cstheme="minorBidi"/>
          <w:b w:val="0"/>
          <w:bCs w:val="0"/>
          <w:sz w:val="22"/>
          <w:szCs w:val="22"/>
          <w:lang w:eastAsia="en-US"/>
        </w:rPr>
        <w:t xml:space="preserve"> que podemos encontrar en el campus llamado “Símbolos y Ritos de la Justicia”</w:t>
      </w:r>
    </w:p>
    <w:p w14:paraId="5042DB0F" w14:textId="20A56ED1" w:rsidR="000E2574" w:rsidRDefault="000E2574" w:rsidP="006A368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Para el segundo apartado he utilizado el enlace que se encuentra a continuación con el artículo ya mencionado anteriormente</w:t>
      </w:r>
    </w:p>
    <w:p w14:paraId="594D6BF3" w14:textId="77777777" w:rsidR="000E2574" w:rsidRDefault="000E2574" w:rsidP="006A368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4CE27BEB" w14:textId="7C24B97A" w:rsidR="000E2574" w:rsidRDefault="000E2574" w:rsidP="006A368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hyperlink r:id="rId13" w:history="1">
        <w:r w:rsidRPr="005379EB">
          <w:rPr>
            <w:rStyle w:val="Hipervnculo"/>
            <w:rFonts w:asciiTheme="minorHAnsi" w:eastAsiaTheme="minorHAnsi" w:hAnsiTheme="minorHAnsi" w:cstheme="minorBidi"/>
            <w:b w:val="0"/>
            <w:bCs w:val="0"/>
            <w:sz w:val="22"/>
            <w:szCs w:val="22"/>
            <w:lang w:eastAsia="en-US"/>
          </w:rPr>
          <w:t>https://boe.es/buscar/act.php?id=BOE-A-2000-323&amp;p=20221223&amp;tn=1#a23</w:t>
        </w:r>
      </w:hyperlink>
    </w:p>
    <w:p w14:paraId="6A01A319" w14:textId="77777777" w:rsidR="000E2574" w:rsidRDefault="000E2574" w:rsidP="006A368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33A4D490" w14:textId="77777777" w:rsidR="00E21598" w:rsidRPr="006A368F" w:rsidRDefault="00E21598" w:rsidP="006A368F">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2AE60D9F" w14:textId="77777777" w:rsidR="00847AE0" w:rsidRPr="00847AE0" w:rsidRDefault="00847AE0" w:rsidP="00847AE0">
      <w:pPr>
        <w:rPr>
          <w:color w:val="4472C4" w:themeColor="accent1"/>
          <w:sz w:val="28"/>
          <w:szCs w:val="28"/>
        </w:rPr>
      </w:pPr>
    </w:p>
    <w:p w14:paraId="1C0DEC74" w14:textId="77777777" w:rsidR="00847AE0" w:rsidRDefault="00847AE0"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79BA512D" w14:textId="3751E7A0" w:rsidR="000516CC" w:rsidRDefault="000516CC"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14:paraId="5C2FA7E2" w14:textId="77777777" w:rsidR="00847AE0" w:rsidRPr="000516CC" w:rsidRDefault="00847AE0"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sectPr w:rsidR="00847AE0" w:rsidRPr="000516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7B5"/>
    <w:multiLevelType w:val="multilevel"/>
    <w:tmpl w:val="4FD2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5141A"/>
    <w:multiLevelType w:val="hybridMultilevel"/>
    <w:tmpl w:val="138C1E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742BAE"/>
    <w:multiLevelType w:val="hybridMultilevel"/>
    <w:tmpl w:val="E774DFB8"/>
    <w:lvl w:ilvl="0" w:tplc="A21EC25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EE5837"/>
    <w:multiLevelType w:val="hybridMultilevel"/>
    <w:tmpl w:val="F1223B30"/>
    <w:lvl w:ilvl="0" w:tplc="4F88A96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F8675D"/>
    <w:multiLevelType w:val="hybridMultilevel"/>
    <w:tmpl w:val="4EC68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69425E"/>
    <w:multiLevelType w:val="hybridMultilevel"/>
    <w:tmpl w:val="43CA31B8"/>
    <w:lvl w:ilvl="0" w:tplc="9B42BCE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0C08A8"/>
    <w:multiLevelType w:val="hybridMultilevel"/>
    <w:tmpl w:val="14BA95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EA2903"/>
    <w:multiLevelType w:val="hybridMultilevel"/>
    <w:tmpl w:val="5FEA28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82164496">
    <w:abstractNumId w:val="0"/>
  </w:num>
  <w:num w:numId="2" w16cid:durableId="789395653">
    <w:abstractNumId w:val="6"/>
  </w:num>
  <w:num w:numId="3" w16cid:durableId="1315833276">
    <w:abstractNumId w:val="7"/>
  </w:num>
  <w:num w:numId="4" w16cid:durableId="959456691">
    <w:abstractNumId w:val="1"/>
  </w:num>
  <w:num w:numId="5" w16cid:durableId="1595288256">
    <w:abstractNumId w:val="2"/>
  </w:num>
  <w:num w:numId="6" w16cid:durableId="155726439">
    <w:abstractNumId w:val="5"/>
  </w:num>
  <w:num w:numId="7" w16cid:durableId="1369141350">
    <w:abstractNumId w:val="4"/>
  </w:num>
  <w:num w:numId="8" w16cid:durableId="1878152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61"/>
    <w:rsid w:val="000104FC"/>
    <w:rsid w:val="000164C9"/>
    <w:rsid w:val="000516CC"/>
    <w:rsid w:val="000D387C"/>
    <w:rsid w:val="000E2574"/>
    <w:rsid w:val="00145985"/>
    <w:rsid w:val="001D74A7"/>
    <w:rsid w:val="00214CA2"/>
    <w:rsid w:val="00243E1E"/>
    <w:rsid w:val="004445BB"/>
    <w:rsid w:val="004A6AEB"/>
    <w:rsid w:val="004B554E"/>
    <w:rsid w:val="004D4B34"/>
    <w:rsid w:val="005128CD"/>
    <w:rsid w:val="005F170E"/>
    <w:rsid w:val="006276A4"/>
    <w:rsid w:val="0069439B"/>
    <w:rsid w:val="006A368F"/>
    <w:rsid w:val="006B6186"/>
    <w:rsid w:val="007274EE"/>
    <w:rsid w:val="00727C14"/>
    <w:rsid w:val="007643C1"/>
    <w:rsid w:val="00776AB0"/>
    <w:rsid w:val="007853AF"/>
    <w:rsid w:val="007B25DE"/>
    <w:rsid w:val="00847AE0"/>
    <w:rsid w:val="009B23A9"/>
    <w:rsid w:val="009B69C8"/>
    <w:rsid w:val="00B61389"/>
    <w:rsid w:val="00BF43A5"/>
    <w:rsid w:val="00C56864"/>
    <w:rsid w:val="00C968EC"/>
    <w:rsid w:val="00CA2B37"/>
    <w:rsid w:val="00D1245A"/>
    <w:rsid w:val="00D86D38"/>
    <w:rsid w:val="00E168E7"/>
    <w:rsid w:val="00E21598"/>
    <w:rsid w:val="00E97A61"/>
    <w:rsid w:val="00EA53B4"/>
    <w:rsid w:val="00EF3BDE"/>
    <w:rsid w:val="00FF22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B106"/>
  <w15:chartTrackingRefBased/>
  <w15:docId w15:val="{988A8B94-E6ED-4174-BB26-63B2823A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643C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51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3E1E"/>
    <w:rPr>
      <w:color w:val="0563C1" w:themeColor="hyperlink"/>
      <w:u w:val="single"/>
    </w:rPr>
  </w:style>
  <w:style w:type="character" w:styleId="Mencinsinresolver">
    <w:name w:val="Unresolved Mention"/>
    <w:basedOn w:val="Fuentedeprrafopredeter"/>
    <w:uiPriority w:val="99"/>
    <w:semiHidden/>
    <w:unhideWhenUsed/>
    <w:rsid w:val="00243E1E"/>
    <w:rPr>
      <w:color w:val="605E5C"/>
      <w:shd w:val="clear" w:color="auto" w:fill="E1DFDD"/>
    </w:rPr>
  </w:style>
  <w:style w:type="character" w:styleId="Hipervnculovisitado">
    <w:name w:val="FollowedHyperlink"/>
    <w:basedOn w:val="Fuentedeprrafopredeter"/>
    <w:uiPriority w:val="99"/>
    <w:semiHidden/>
    <w:unhideWhenUsed/>
    <w:rsid w:val="00243E1E"/>
    <w:rPr>
      <w:color w:val="954F72" w:themeColor="followedHyperlink"/>
      <w:u w:val="single"/>
    </w:rPr>
  </w:style>
  <w:style w:type="paragraph" w:styleId="Prrafodelista">
    <w:name w:val="List Paragraph"/>
    <w:basedOn w:val="Normal"/>
    <w:uiPriority w:val="34"/>
    <w:qFormat/>
    <w:rsid w:val="007274EE"/>
    <w:pPr>
      <w:ind w:left="720"/>
      <w:contextualSpacing/>
    </w:pPr>
  </w:style>
  <w:style w:type="character" w:customStyle="1" w:styleId="Ttulo2Car">
    <w:name w:val="Título 2 Car"/>
    <w:basedOn w:val="Fuentedeprrafopredeter"/>
    <w:link w:val="Ttulo2"/>
    <w:uiPriority w:val="9"/>
    <w:rsid w:val="007643C1"/>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7643C1"/>
    <w:rPr>
      <w:i/>
      <w:iCs/>
    </w:rPr>
  </w:style>
  <w:style w:type="character" w:customStyle="1" w:styleId="Ttulo3Car">
    <w:name w:val="Título 3 Car"/>
    <w:basedOn w:val="Fuentedeprrafopredeter"/>
    <w:link w:val="Ttulo3"/>
    <w:uiPriority w:val="9"/>
    <w:semiHidden/>
    <w:rsid w:val="000516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2084">
      <w:bodyDiv w:val="1"/>
      <w:marLeft w:val="0"/>
      <w:marRight w:val="0"/>
      <w:marTop w:val="0"/>
      <w:marBottom w:val="0"/>
      <w:divBdr>
        <w:top w:val="none" w:sz="0" w:space="0" w:color="auto"/>
        <w:left w:val="none" w:sz="0" w:space="0" w:color="auto"/>
        <w:bottom w:val="none" w:sz="0" w:space="0" w:color="auto"/>
        <w:right w:val="none" w:sz="0" w:space="0" w:color="auto"/>
      </w:divBdr>
    </w:div>
    <w:div w:id="851838137">
      <w:bodyDiv w:val="1"/>
      <w:marLeft w:val="0"/>
      <w:marRight w:val="0"/>
      <w:marTop w:val="0"/>
      <w:marBottom w:val="0"/>
      <w:divBdr>
        <w:top w:val="none" w:sz="0" w:space="0" w:color="auto"/>
        <w:left w:val="none" w:sz="0" w:space="0" w:color="auto"/>
        <w:bottom w:val="none" w:sz="0" w:space="0" w:color="auto"/>
        <w:right w:val="none" w:sz="0" w:space="0" w:color="auto"/>
      </w:divBdr>
    </w:div>
    <w:div w:id="1121681182">
      <w:bodyDiv w:val="1"/>
      <w:marLeft w:val="0"/>
      <w:marRight w:val="0"/>
      <w:marTop w:val="0"/>
      <w:marBottom w:val="0"/>
      <w:divBdr>
        <w:top w:val="none" w:sz="0" w:space="0" w:color="auto"/>
        <w:left w:val="none" w:sz="0" w:space="0" w:color="auto"/>
        <w:bottom w:val="none" w:sz="0" w:space="0" w:color="auto"/>
        <w:right w:val="none" w:sz="0" w:space="0" w:color="auto"/>
      </w:divBdr>
    </w:div>
    <w:div w:id="1425951149">
      <w:bodyDiv w:val="1"/>
      <w:marLeft w:val="0"/>
      <w:marRight w:val="0"/>
      <w:marTop w:val="0"/>
      <w:marBottom w:val="0"/>
      <w:divBdr>
        <w:top w:val="none" w:sz="0" w:space="0" w:color="auto"/>
        <w:left w:val="none" w:sz="0" w:space="0" w:color="auto"/>
        <w:bottom w:val="none" w:sz="0" w:space="0" w:color="auto"/>
        <w:right w:val="none" w:sz="0" w:space="0" w:color="auto"/>
      </w:divBdr>
    </w:div>
    <w:div w:id="1585918397">
      <w:bodyDiv w:val="1"/>
      <w:marLeft w:val="0"/>
      <w:marRight w:val="0"/>
      <w:marTop w:val="0"/>
      <w:marBottom w:val="0"/>
      <w:divBdr>
        <w:top w:val="none" w:sz="0" w:space="0" w:color="auto"/>
        <w:left w:val="none" w:sz="0" w:space="0" w:color="auto"/>
        <w:bottom w:val="none" w:sz="0" w:space="0" w:color="auto"/>
        <w:right w:val="none" w:sz="0" w:space="0" w:color="auto"/>
      </w:divBdr>
    </w:div>
    <w:div w:id="159725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AUTO/?uri=CELEX:32007L0045&amp;qid=1676233474481&amp;rid=5" TargetMode="External"/><Relationship Id="rId13" Type="http://schemas.openxmlformats.org/officeDocument/2006/relationships/hyperlink" Target="https://boe.es/buscar/act.php?id=BOE-A-2000-323&amp;p=20221223&amp;tn=1#a23" TargetMode="External"/><Relationship Id="rId3" Type="http://schemas.openxmlformats.org/officeDocument/2006/relationships/settings" Target="settings.xml"/><Relationship Id="rId7" Type="http://schemas.openxmlformats.org/officeDocument/2006/relationships/hyperlink" Target="https://eur-lex.europa.eu/legal-content/AUTO/?uri=CELEX:32014L0053&amp;qid=1676233474481&amp;rid=3" TargetMode="External"/><Relationship Id="rId12" Type="http://schemas.openxmlformats.org/officeDocument/2006/relationships/hyperlink" Target="https://www.boe.es/buscar/act.php?id=BOE-A-1985-12666&amp;p=20221223&amp;tn=1#asesentay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e.es/buscar/act.php?id=BOE-A-1978-31229&amp;p=20110927&amp;tn=1" TargetMode="External"/><Relationship Id="rId11" Type="http://schemas.openxmlformats.org/officeDocument/2006/relationships/hyperlink" Target="https://www.poderjudicial.es/cgpj/es/Poder-Judicial/Audiencia-Nacional/" TargetMode="External"/><Relationship Id="rId5" Type="http://schemas.openxmlformats.org/officeDocument/2006/relationships/hyperlink" Target="https://www.boe.es/buscar/act.php?id=BOE-A-1979-23709&amp;p=20151017&amp;tn=1#acuarentayuno" TargetMode="External"/><Relationship Id="rId15" Type="http://schemas.openxmlformats.org/officeDocument/2006/relationships/theme" Target="theme/theme1.xml"/><Relationship Id="rId10" Type="http://schemas.openxmlformats.org/officeDocument/2006/relationships/hyperlink" Target="https://www.boe.es/buscar/act.php?id=BOE-A-1985-12666&amp;p=20221223&amp;tn=1#atrescientosdieciseis" TargetMode="External"/><Relationship Id="rId4" Type="http://schemas.openxmlformats.org/officeDocument/2006/relationships/webSettings" Target="webSettings.xml"/><Relationship Id="rId9" Type="http://schemas.openxmlformats.org/officeDocument/2006/relationships/hyperlink" Target="https://eur-lex.europa.eu/search.html?scope=EURLEX&amp;text=Directiva+comunitaria&amp;lang=es&amp;type=quick&amp;qid=1676235565058"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4</Pages>
  <Words>1588</Words>
  <Characters>8734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LÓPEZ MARTÍNEZ</dc:creator>
  <cp:keywords/>
  <dc:description/>
  <cp:lastModifiedBy>ALEJANDRO LÓPEZ MARTÍNEZ</cp:lastModifiedBy>
  <cp:revision>4</cp:revision>
  <dcterms:created xsi:type="dcterms:W3CDTF">2023-02-08T09:05:00Z</dcterms:created>
  <dcterms:modified xsi:type="dcterms:W3CDTF">2023-02-12T23:19:00Z</dcterms:modified>
</cp:coreProperties>
</file>