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24A9E" w14:textId="77777777" w:rsidR="00984F76" w:rsidRPr="00984F76" w:rsidRDefault="00984F76" w:rsidP="00984F76">
      <w:pPr>
        <w:rPr>
          <w:b/>
          <w:bCs/>
        </w:rPr>
      </w:pPr>
      <w:proofErr w:type="spellStart"/>
      <w:r w:rsidRPr="00984F76">
        <w:rPr>
          <w:b/>
          <w:bCs/>
        </w:rPr>
        <w:t>GameCredits</w:t>
      </w:r>
      <w:proofErr w:type="spellEnd"/>
      <w:r w:rsidRPr="00984F76">
        <w:rPr>
          <w:b/>
          <w:bCs/>
        </w:rPr>
        <w:t xml:space="preserve"> is creating a new payment gateway for the gaming industry.</w:t>
      </w:r>
    </w:p>
    <w:p w14:paraId="17B581F7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t xml:space="preserve">There are a lot of challenges and limitations with current payment solutions and platforms in the gaming industry. We will provide gaming companies a very specific solution to make payments seamless, easy and secure. We will offer the gaming industry ways to pay less and make more. Our </w:t>
      </w:r>
      <w:proofErr w:type="gramStart"/>
      <w:r w:rsidRPr="00984F76">
        <w:rPr>
          <w:b/>
          <w:bCs/>
        </w:rPr>
        <w:t>in game</w:t>
      </w:r>
      <w:proofErr w:type="gramEnd"/>
      <w:r w:rsidRPr="00984F76">
        <w:rPr>
          <w:b/>
          <w:bCs/>
        </w:rPr>
        <w:t xml:space="preserve"> payment gateway is built for the gaming industry by the gaming industry.</w:t>
      </w:r>
    </w:p>
    <w:p w14:paraId="2947B03B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t>Benefits to Gamers</w:t>
      </w:r>
    </w:p>
    <w:p w14:paraId="3E40968F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616EB012" wp14:editId="6E659088">
            <wp:extent cx="234950" cy="234950"/>
            <wp:effectExtent l="0" t="0" r="0" b="0"/>
            <wp:docPr id="16" name="Picture 16" descr="con_0015_lik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n_0015_like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Seamless &amp; Easy Integration</w:t>
      </w:r>
    </w:p>
    <w:p w14:paraId="4EDCBE98" w14:textId="77777777" w:rsidR="00984F76" w:rsidRPr="00984F76" w:rsidRDefault="00984F76" w:rsidP="00984F76">
      <w:r w:rsidRPr="00984F76">
        <w:t>100% frictionless gamer experience. Gamers will not be distracted from gameplay.</w:t>
      </w:r>
    </w:p>
    <w:p w14:paraId="0588B479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4966A41F" wp14:editId="01B316B4">
            <wp:extent cx="234950" cy="234950"/>
            <wp:effectExtent l="0" t="0" r="0" b="0"/>
            <wp:docPr id="15" name="Picture 15" descr="con_0004_b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n_0004_bil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Higher Deposit Limits</w:t>
      </w:r>
    </w:p>
    <w:p w14:paraId="688044F8" w14:textId="77777777" w:rsidR="00984F76" w:rsidRPr="00984F76" w:rsidRDefault="00984F76" w:rsidP="00984F76">
      <w:r w:rsidRPr="00984F76">
        <w:t xml:space="preserve">Today gamers are restricted to how much they can deposit into their </w:t>
      </w:r>
      <w:proofErr w:type="spellStart"/>
      <w:r w:rsidRPr="00984F76">
        <w:t>favorite</w:t>
      </w:r>
      <w:proofErr w:type="spellEnd"/>
      <w:r w:rsidRPr="00984F76">
        <w:t xml:space="preserve"> games. We have a solution for this.</w:t>
      </w:r>
    </w:p>
    <w:p w14:paraId="1BE2D515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4E7A97E9" wp14:editId="5022990B">
            <wp:extent cx="234950" cy="234950"/>
            <wp:effectExtent l="0" t="0" r="0" b="0"/>
            <wp:docPr id="14" name="Picture 14" descr="con_0007_shopping-bag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n_0007_shopping-bag-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More Deposit Options</w:t>
      </w:r>
    </w:p>
    <w:p w14:paraId="68154B30" w14:textId="77777777" w:rsidR="00984F76" w:rsidRPr="00984F76" w:rsidRDefault="00984F76" w:rsidP="00984F76">
      <w:r w:rsidRPr="00984F76">
        <w:t xml:space="preserve">Google Play and Apple only allow credit card purchases and deposits for mobile games. For web/PC games local deposit options are limited. Our payment system provides a variety of deposit options, including </w:t>
      </w:r>
      <w:proofErr w:type="spellStart"/>
      <w:r w:rsidRPr="00984F76">
        <w:t>gamecredits</w:t>
      </w:r>
      <w:proofErr w:type="spellEnd"/>
      <w:r w:rsidRPr="00984F76">
        <w:t>.</w:t>
      </w:r>
    </w:p>
    <w:p w14:paraId="13F251FF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5A560BD8" wp14:editId="321136EF">
            <wp:extent cx="234950" cy="234950"/>
            <wp:effectExtent l="0" t="0" r="0" b="0"/>
            <wp:docPr id="13" name="Picture 13" descr="con_0014_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n_0014_mone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Purchase Power</w:t>
      </w:r>
    </w:p>
    <w:p w14:paraId="52406A25" w14:textId="77777777" w:rsidR="00984F76" w:rsidRPr="00984F76" w:rsidRDefault="00984F76" w:rsidP="00984F76">
      <w:r w:rsidRPr="00984F76">
        <w:t xml:space="preserve">Players will be incentivized to use </w:t>
      </w:r>
      <w:proofErr w:type="spellStart"/>
      <w:r w:rsidRPr="00984F76">
        <w:t>gamecredits</w:t>
      </w:r>
      <w:proofErr w:type="spellEnd"/>
      <w:r w:rsidRPr="00984F76">
        <w:t xml:space="preserve"> (GAME) to purchase in game items, providing gamers with more value in their purchases.</w:t>
      </w:r>
    </w:p>
    <w:p w14:paraId="0C34E45D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59754404" wp14:editId="02BF3B74">
            <wp:extent cx="234950" cy="234950"/>
            <wp:effectExtent l="0" t="0" r="0" b="0"/>
            <wp:docPr id="12" name="Picture 12" descr="con_0003_box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on_0003_box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Increasing Value</w:t>
      </w:r>
    </w:p>
    <w:p w14:paraId="64296BDF" w14:textId="77777777" w:rsidR="00984F76" w:rsidRPr="00984F76" w:rsidRDefault="00984F76" w:rsidP="00984F76">
      <w:r w:rsidRPr="00984F76">
        <w:t>As more gaming companies and gamers use GAME, demand forces will cause GAME to increase in value. Gamers will notice they have more purchasing power.</w:t>
      </w:r>
    </w:p>
    <w:p w14:paraId="241C2AAC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7D587720" wp14:editId="45DF0A5A">
            <wp:extent cx="234950" cy="234950"/>
            <wp:effectExtent l="0" t="0" r="0" b="0"/>
            <wp:docPr id="11" name="Picture 11" descr="con_0015_lik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on_0015_like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Transferability</w:t>
      </w:r>
    </w:p>
    <w:p w14:paraId="679DC819" w14:textId="77777777" w:rsidR="00984F76" w:rsidRPr="00984F76" w:rsidRDefault="00984F76" w:rsidP="00984F76">
      <w:r w:rsidRPr="00984F76">
        <w:t xml:space="preserve">Credits can be transferred between games via the </w:t>
      </w:r>
      <w:proofErr w:type="spellStart"/>
      <w:r w:rsidRPr="00984F76">
        <w:t>gamecredits</w:t>
      </w:r>
      <w:proofErr w:type="spellEnd"/>
      <w:r w:rsidRPr="00984F76">
        <w:t xml:space="preserve"> wallet. Purchases made by users will not be lost as their game preferences change.</w:t>
      </w:r>
    </w:p>
    <w:p w14:paraId="2B124917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189CF5B1" wp14:editId="588A365B">
            <wp:extent cx="234950" cy="234950"/>
            <wp:effectExtent l="0" t="0" r="0" b="0"/>
            <wp:docPr id="10" name="Picture 10" descr="con_0009_piggy-ba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n_0009_piggy-bank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Safe Place to Keep Money</w:t>
      </w:r>
    </w:p>
    <w:p w14:paraId="778AC14E" w14:textId="77777777" w:rsidR="00984F76" w:rsidRPr="00984F76" w:rsidRDefault="00984F76" w:rsidP="00984F76">
      <w:r w:rsidRPr="00984F76">
        <w:t>In game purchases are safe from theft, fraud, and other security infringements associated with online purchases today.</w:t>
      </w:r>
    </w:p>
    <w:p w14:paraId="2126D841" w14:textId="77777777" w:rsidR="00984F76" w:rsidRPr="00984F76" w:rsidRDefault="00984F76" w:rsidP="00984F76">
      <w:pPr>
        <w:rPr>
          <w:b/>
          <w:bCs/>
        </w:rPr>
      </w:pPr>
      <w:r w:rsidRPr="00984F76">
        <w:rPr>
          <w:b/>
          <w:bCs/>
        </w:rPr>
        <w:drawing>
          <wp:inline distT="0" distB="0" distL="0" distR="0" wp14:anchorId="49541D98" wp14:editId="3B003692">
            <wp:extent cx="234950" cy="234950"/>
            <wp:effectExtent l="0" t="0" r="0" b="0"/>
            <wp:docPr id="9" name="Picture 9" descr="con_0017_credit-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on_0017_credit-c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F76">
        <w:rPr>
          <w:b/>
          <w:bCs/>
        </w:rPr>
        <w:t> Send Money Anonymously</w:t>
      </w:r>
    </w:p>
    <w:p w14:paraId="6A430675" w14:textId="77777777" w:rsidR="00984F76" w:rsidRPr="00984F76" w:rsidRDefault="00984F76" w:rsidP="00984F76">
      <w:r w:rsidRPr="00984F76">
        <w:t>Keep personal life personal. Gamers can on enjoying the game content rather than worrying about protecting their personal information.</w:t>
      </w:r>
    </w:p>
    <w:p w14:paraId="285BB655" w14:textId="77777777" w:rsidR="00D75213" w:rsidRDefault="00984F76">
      <w:bookmarkStart w:id="0" w:name="_GoBack"/>
      <w:bookmarkEnd w:id="0"/>
    </w:p>
    <w:sectPr w:rsidR="00D75213" w:rsidSect="00155F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76"/>
    <w:rsid w:val="0002618F"/>
    <w:rsid w:val="00155FB7"/>
    <w:rsid w:val="00181ECA"/>
    <w:rsid w:val="0042472F"/>
    <w:rsid w:val="009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62A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2"/>
        <w:szCs w:val="40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9200">
                          <w:marLeft w:val="3840"/>
                          <w:marRight w:val="384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98766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7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33509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5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35724">
                          <w:marLeft w:val="3840"/>
                          <w:marRight w:val="384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65566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7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2640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Macintosh Word</Application>
  <DocSecurity>0</DocSecurity>
  <Lines>12</Lines>
  <Paragraphs>3</Paragraphs>
  <ScaleCrop>false</ScaleCrop>
  <Company>AS&amp;C Studio Traduzioni Legali Santos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Santos Oncoy</dc:creator>
  <cp:keywords/>
  <dc:description/>
  <cp:lastModifiedBy>Alejandro Santos Oncoy</cp:lastModifiedBy>
  <cp:revision>1</cp:revision>
  <dcterms:created xsi:type="dcterms:W3CDTF">2017-07-21T14:47:00Z</dcterms:created>
  <dcterms:modified xsi:type="dcterms:W3CDTF">2017-07-21T14:48:00Z</dcterms:modified>
</cp:coreProperties>
</file>