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A4AA2" w14:textId="77777777" w:rsidR="00455EF3" w:rsidRPr="00455EF3" w:rsidRDefault="00455EF3" w:rsidP="00610268">
      <w:pPr>
        <w:jc w:val="center"/>
        <w:rPr>
          <w:rFonts w:cs="Calibri"/>
          <w:b/>
          <w:bCs/>
          <w:sz w:val="24"/>
          <w:szCs w:val="24"/>
        </w:rPr>
      </w:pPr>
      <w:r w:rsidRPr="00455EF3">
        <w:rPr>
          <w:rFonts w:cs="Calibri"/>
          <w:b/>
          <w:bCs/>
          <w:sz w:val="24"/>
          <w:szCs w:val="24"/>
        </w:rPr>
        <w:t>Análisis de la Brecha Digital en Colombia (2018–2024):</w:t>
      </w:r>
    </w:p>
    <w:p w14:paraId="111E0B03" w14:textId="7262A410" w:rsidR="00455EF3" w:rsidRPr="00455EF3" w:rsidRDefault="00610268" w:rsidP="00610268">
      <w:pPr>
        <w:jc w:val="center"/>
        <w:rPr>
          <w:rFonts w:cs="Calibri"/>
          <w:b/>
          <w:bCs/>
          <w:sz w:val="24"/>
          <w:szCs w:val="24"/>
        </w:rPr>
      </w:pPr>
      <w:r>
        <w:rPr>
          <w:rFonts w:cs="Calibri"/>
          <w:b/>
          <w:bCs/>
          <w:sz w:val="24"/>
          <w:szCs w:val="24"/>
        </w:rPr>
        <w:t>Colombia Digital</w:t>
      </w:r>
    </w:p>
    <w:p w14:paraId="4899239E" w14:textId="77777777" w:rsidR="00455EF3" w:rsidRDefault="00455EF3" w:rsidP="00610268">
      <w:pPr>
        <w:jc w:val="center"/>
        <w:rPr>
          <w:rFonts w:cs="Calibri"/>
          <w:b/>
          <w:bCs/>
          <w:sz w:val="24"/>
          <w:szCs w:val="24"/>
        </w:rPr>
      </w:pPr>
    </w:p>
    <w:p w14:paraId="3630CA22" w14:textId="77777777" w:rsidR="00610268" w:rsidRDefault="00610268" w:rsidP="00610268">
      <w:pPr>
        <w:jc w:val="center"/>
        <w:rPr>
          <w:rFonts w:cs="Calibri"/>
          <w:b/>
          <w:bCs/>
          <w:sz w:val="24"/>
          <w:szCs w:val="24"/>
        </w:rPr>
      </w:pPr>
    </w:p>
    <w:p w14:paraId="6174534A" w14:textId="77777777" w:rsidR="00610268" w:rsidRDefault="00610268" w:rsidP="00610268">
      <w:pPr>
        <w:jc w:val="center"/>
        <w:rPr>
          <w:rFonts w:cs="Calibri"/>
          <w:b/>
          <w:bCs/>
          <w:sz w:val="24"/>
          <w:szCs w:val="24"/>
        </w:rPr>
      </w:pPr>
    </w:p>
    <w:p w14:paraId="57D10F6E" w14:textId="77777777" w:rsidR="00610268" w:rsidRPr="00455EF3" w:rsidRDefault="00610268" w:rsidP="00610268">
      <w:pPr>
        <w:jc w:val="center"/>
        <w:rPr>
          <w:rFonts w:cs="Calibri"/>
          <w:b/>
          <w:bCs/>
          <w:sz w:val="24"/>
          <w:szCs w:val="24"/>
        </w:rPr>
      </w:pPr>
    </w:p>
    <w:p w14:paraId="35F840B6" w14:textId="77777777" w:rsidR="00455EF3" w:rsidRPr="00455EF3" w:rsidRDefault="00455EF3" w:rsidP="00610268">
      <w:pPr>
        <w:jc w:val="center"/>
        <w:rPr>
          <w:rFonts w:cs="Calibri"/>
          <w:b/>
          <w:bCs/>
          <w:sz w:val="24"/>
          <w:szCs w:val="24"/>
        </w:rPr>
      </w:pPr>
      <w:r w:rsidRPr="00455EF3">
        <w:rPr>
          <w:rFonts w:cs="Calibri"/>
          <w:b/>
          <w:bCs/>
          <w:sz w:val="24"/>
          <w:szCs w:val="24"/>
        </w:rPr>
        <w:t>Trabajo de investigación</w:t>
      </w:r>
    </w:p>
    <w:p w14:paraId="0FD75791" w14:textId="77777777" w:rsidR="00455EF3" w:rsidRDefault="00455EF3" w:rsidP="00610268">
      <w:pPr>
        <w:jc w:val="center"/>
        <w:rPr>
          <w:rFonts w:cs="Calibri"/>
          <w:b/>
          <w:bCs/>
          <w:sz w:val="24"/>
          <w:szCs w:val="24"/>
        </w:rPr>
      </w:pPr>
    </w:p>
    <w:p w14:paraId="2F4A169D" w14:textId="77777777" w:rsidR="00610268" w:rsidRDefault="00610268" w:rsidP="00610268">
      <w:pPr>
        <w:jc w:val="center"/>
        <w:rPr>
          <w:rFonts w:cs="Calibri"/>
          <w:b/>
          <w:bCs/>
          <w:sz w:val="24"/>
          <w:szCs w:val="24"/>
        </w:rPr>
      </w:pPr>
    </w:p>
    <w:p w14:paraId="184B68DD" w14:textId="77777777" w:rsidR="00610268" w:rsidRPr="00455EF3" w:rsidRDefault="00610268" w:rsidP="00610268">
      <w:pPr>
        <w:jc w:val="center"/>
        <w:rPr>
          <w:rFonts w:cs="Calibri"/>
          <w:b/>
          <w:bCs/>
          <w:sz w:val="24"/>
          <w:szCs w:val="24"/>
        </w:rPr>
      </w:pPr>
    </w:p>
    <w:p w14:paraId="53471A29" w14:textId="0A49E61A" w:rsidR="00455EF3" w:rsidRDefault="00455EF3" w:rsidP="00610268">
      <w:pPr>
        <w:jc w:val="center"/>
        <w:rPr>
          <w:rFonts w:cs="Calibri"/>
          <w:b/>
          <w:bCs/>
          <w:sz w:val="24"/>
          <w:szCs w:val="24"/>
        </w:rPr>
      </w:pPr>
      <w:r w:rsidRPr="00455EF3">
        <w:rPr>
          <w:rFonts w:cs="Calibri"/>
          <w:b/>
          <w:bCs/>
          <w:sz w:val="24"/>
          <w:szCs w:val="24"/>
        </w:rPr>
        <w:t xml:space="preserve">Autor: </w:t>
      </w:r>
      <w:r w:rsidR="00610268">
        <w:rPr>
          <w:rFonts w:cs="Calibri"/>
          <w:b/>
          <w:bCs/>
          <w:sz w:val="24"/>
          <w:szCs w:val="24"/>
        </w:rPr>
        <w:br/>
      </w:r>
      <w:r w:rsidRPr="00455EF3">
        <w:rPr>
          <w:rFonts w:cs="Calibri"/>
          <w:b/>
          <w:bCs/>
          <w:sz w:val="24"/>
          <w:szCs w:val="24"/>
        </w:rPr>
        <w:t>Alejandro Montes Quintero</w:t>
      </w:r>
    </w:p>
    <w:p w14:paraId="22814A15" w14:textId="77777777" w:rsidR="00610268" w:rsidRDefault="00610268" w:rsidP="00610268">
      <w:pPr>
        <w:jc w:val="center"/>
        <w:rPr>
          <w:rFonts w:cs="Calibri"/>
          <w:b/>
          <w:bCs/>
          <w:sz w:val="24"/>
          <w:szCs w:val="24"/>
        </w:rPr>
      </w:pPr>
    </w:p>
    <w:p w14:paraId="0E24AA57" w14:textId="77777777" w:rsidR="00610268" w:rsidRDefault="00610268" w:rsidP="00610268">
      <w:pPr>
        <w:jc w:val="center"/>
        <w:rPr>
          <w:rFonts w:cs="Calibri"/>
          <w:b/>
          <w:bCs/>
          <w:sz w:val="24"/>
          <w:szCs w:val="24"/>
        </w:rPr>
      </w:pPr>
    </w:p>
    <w:p w14:paraId="620C25A0" w14:textId="77777777" w:rsidR="00610268" w:rsidRDefault="00610268" w:rsidP="00610268">
      <w:pPr>
        <w:jc w:val="center"/>
        <w:rPr>
          <w:rFonts w:cs="Calibri"/>
          <w:b/>
          <w:bCs/>
          <w:sz w:val="24"/>
          <w:szCs w:val="24"/>
        </w:rPr>
      </w:pPr>
    </w:p>
    <w:p w14:paraId="7FBB2700" w14:textId="77777777" w:rsidR="00610268" w:rsidRDefault="00610268" w:rsidP="00610268">
      <w:pPr>
        <w:jc w:val="center"/>
        <w:rPr>
          <w:rFonts w:cs="Calibri"/>
          <w:b/>
          <w:bCs/>
          <w:sz w:val="24"/>
          <w:szCs w:val="24"/>
        </w:rPr>
      </w:pPr>
    </w:p>
    <w:p w14:paraId="682BE26F" w14:textId="77777777" w:rsidR="00610268" w:rsidRPr="00455EF3" w:rsidRDefault="00610268" w:rsidP="00610268">
      <w:pPr>
        <w:jc w:val="center"/>
        <w:rPr>
          <w:rFonts w:cs="Calibri"/>
          <w:b/>
          <w:bCs/>
          <w:sz w:val="24"/>
          <w:szCs w:val="24"/>
        </w:rPr>
      </w:pPr>
    </w:p>
    <w:p w14:paraId="5AD1EF53" w14:textId="60570D4D" w:rsidR="00610268" w:rsidRDefault="00455EF3" w:rsidP="00610268">
      <w:pPr>
        <w:jc w:val="center"/>
        <w:rPr>
          <w:rFonts w:cs="Calibri"/>
          <w:b/>
          <w:bCs/>
          <w:sz w:val="24"/>
          <w:szCs w:val="24"/>
        </w:rPr>
      </w:pPr>
      <w:r w:rsidRPr="00455EF3">
        <w:rPr>
          <w:rFonts w:cs="Calibri"/>
          <w:b/>
          <w:bCs/>
          <w:sz w:val="24"/>
          <w:szCs w:val="24"/>
        </w:rPr>
        <w:t xml:space="preserve">Asignatura: </w:t>
      </w:r>
      <w:r w:rsidR="00610268">
        <w:rPr>
          <w:rFonts w:cs="Calibri"/>
          <w:b/>
          <w:bCs/>
          <w:sz w:val="24"/>
          <w:szCs w:val="24"/>
        </w:rPr>
        <w:br/>
      </w:r>
      <w:proofErr w:type="spellStart"/>
      <w:r w:rsidRPr="00455EF3">
        <w:rPr>
          <w:rFonts w:cs="Calibri"/>
          <w:b/>
          <w:bCs/>
          <w:sz w:val="24"/>
          <w:szCs w:val="24"/>
        </w:rPr>
        <w:t>Bootcamp</w:t>
      </w:r>
      <w:proofErr w:type="spellEnd"/>
      <w:r w:rsidRPr="00455EF3">
        <w:rPr>
          <w:rFonts w:cs="Calibri"/>
          <w:b/>
          <w:bCs/>
          <w:sz w:val="24"/>
          <w:szCs w:val="24"/>
        </w:rPr>
        <w:t xml:space="preserve"> Talento </w:t>
      </w:r>
      <w:proofErr w:type="spellStart"/>
      <w:r w:rsidRPr="00455EF3">
        <w:rPr>
          <w:rFonts w:cs="Calibri"/>
          <w:b/>
          <w:bCs/>
          <w:sz w:val="24"/>
          <w:szCs w:val="24"/>
        </w:rPr>
        <w:t>Tech</w:t>
      </w:r>
      <w:proofErr w:type="spellEnd"/>
    </w:p>
    <w:p w14:paraId="52F89D01" w14:textId="77777777" w:rsidR="00610268" w:rsidRDefault="00610268" w:rsidP="00610268">
      <w:pPr>
        <w:jc w:val="center"/>
        <w:rPr>
          <w:rFonts w:cs="Calibri"/>
          <w:b/>
          <w:bCs/>
          <w:sz w:val="24"/>
          <w:szCs w:val="24"/>
        </w:rPr>
      </w:pPr>
    </w:p>
    <w:p w14:paraId="306E4720" w14:textId="77777777" w:rsidR="00610268" w:rsidRDefault="00610268" w:rsidP="00610268">
      <w:pPr>
        <w:jc w:val="center"/>
        <w:rPr>
          <w:rFonts w:cs="Calibri"/>
          <w:b/>
          <w:bCs/>
          <w:sz w:val="24"/>
          <w:szCs w:val="24"/>
        </w:rPr>
      </w:pPr>
    </w:p>
    <w:p w14:paraId="76C490E5" w14:textId="77777777" w:rsidR="00610268" w:rsidRDefault="00610268" w:rsidP="00610268">
      <w:pPr>
        <w:jc w:val="center"/>
        <w:rPr>
          <w:rFonts w:cs="Calibri"/>
          <w:b/>
          <w:bCs/>
          <w:sz w:val="24"/>
          <w:szCs w:val="24"/>
        </w:rPr>
      </w:pPr>
    </w:p>
    <w:p w14:paraId="4D8D6D2B" w14:textId="77777777" w:rsidR="00610268" w:rsidRDefault="00610268" w:rsidP="00610268">
      <w:pPr>
        <w:jc w:val="center"/>
        <w:rPr>
          <w:rFonts w:cs="Calibri"/>
          <w:b/>
          <w:bCs/>
          <w:sz w:val="24"/>
          <w:szCs w:val="24"/>
        </w:rPr>
      </w:pPr>
    </w:p>
    <w:p w14:paraId="6F44CED9" w14:textId="77777777" w:rsidR="00610268" w:rsidRDefault="00610268" w:rsidP="00610268">
      <w:pPr>
        <w:jc w:val="center"/>
        <w:rPr>
          <w:rFonts w:cs="Calibri"/>
          <w:b/>
          <w:bCs/>
          <w:sz w:val="24"/>
          <w:szCs w:val="24"/>
        </w:rPr>
      </w:pPr>
    </w:p>
    <w:p w14:paraId="1332AAE8" w14:textId="77777777" w:rsidR="00610268" w:rsidRDefault="00610268" w:rsidP="00610268">
      <w:pPr>
        <w:jc w:val="center"/>
        <w:rPr>
          <w:rFonts w:cs="Calibri"/>
          <w:b/>
          <w:bCs/>
          <w:sz w:val="24"/>
          <w:szCs w:val="24"/>
        </w:rPr>
      </w:pPr>
    </w:p>
    <w:p w14:paraId="56110805" w14:textId="77777777" w:rsidR="00610268" w:rsidRDefault="00610268" w:rsidP="00610268">
      <w:pPr>
        <w:jc w:val="center"/>
        <w:rPr>
          <w:rFonts w:cs="Calibri"/>
          <w:b/>
          <w:bCs/>
          <w:sz w:val="24"/>
          <w:szCs w:val="24"/>
        </w:rPr>
      </w:pPr>
    </w:p>
    <w:p w14:paraId="140AE513" w14:textId="77777777" w:rsidR="00610268" w:rsidRDefault="00610268" w:rsidP="00610268">
      <w:pPr>
        <w:jc w:val="center"/>
        <w:rPr>
          <w:rFonts w:cs="Calibri"/>
          <w:b/>
          <w:bCs/>
          <w:sz w:val="24"/>
          <w:szCs w:val="24"/>
        </w:rPr>
      </w:pPr>
    </w:p>
    <w:p w14:paraId="7300714C" w14:textId="666D8EC4" w:rsidR="00455EF3" w:rsidRPr="00455EF3" w:rsidRDefault="00455EF3" w:rsidP="00610268">
      <w:pPr>
        <w:jc w:val="center"/>
        <w:rPr>
          <w:rFonts w:cs="Calibri"/>
          <w:b/>
          <w:bCs/>
          <w:sz w:val="24"/>
          <w:szCs w:val="24"/>
        </w:rPr>
      </w:pPr>
      <w:r w:rsidRPr="00455EF3">
        <w:rPr>
          <w:rFonts w:cs="Calibri"/>
          <w:b/>
          <w:bCs/>
          <w:sz w:val="24"/>
          <w:szCs w:val="24"/>
        </w:rPr>
        <w:t>Ciudad y Año: Medellín, 2025</w:t>
      </w:r>
    </w:p>
    <w:p w14:paraId="7DDC0030" w14:textId="77777777" w:rsidR="00455EF3" w:rsidRPr="00455EF3" w:rsidRDefault="00455EF3" w:rsidP="00455EF3">
      <w:pPr>
        <w:jc w:val="both"/>
        <w:rPr>
          <w:rFonts w:cs="Calibri"/>
          <w:b/>
          <w:bCs/>
          <w:sz w:val="24"/>
          <w:szCs w:val="24"/>
        </w:rPr>
      </w:pPr>
      <w:r w:rsidRPr="00455EF3">
        <w:rPr>
          <w:rFonts w:cs="Calibri"/>
          <w:b/>
          <w:bCs/>
          <w:sz w:val="24"/>
          <w:szCs w:val="24"/>
        </w:rPr>
        <w:lastRenderedPageBreak/>
        <w:t>Resumen</w:t>
      </w:r>
    </w:p>
    <w:p w14:paraId="22DCE5CC" w14:textId="77777777" w:rsidR="00610268" w:rsidRDefault="00455EF3" w:rsidP="00127AD5">
      <w:pPr>
        <w:jc w:val="both"/>
        <w:rPr>
          <w:rFonts w:cs="Calibri"/>
          <w:sz w:val="24"/>
          <w:szCs w:val="24"/>
        </w:rPr>
      </w:pPr>
      <w:r w:rsidRPr="00610268">
        <w:rPr>
          <w:rFonts w:cs="Calibri"/>
          <w:sz w:val="24"/>
          <w:szCs w:val="24"/>
        </w:rPr>
        <w:t>Este proyecto analiza la brecha digital en Colombia utilizando datos de la Encuesta de Calidad de Vida (DANE, 2018–2024). Se evalúa el acceso a Internet y a computadores en los hogares, su relación con la continuidad educativa y se identifican las regiones y grupos etarios más rezagados para proponer acciones de inclusión digital.</w:t>
      </w:r>
    </w:p>
    <w:p w14:paraId="6C3669EF" w14:textId="77777777" w:rsidR="007B13AC" w:rsidRPr="007B13AC" w:rsidRDefault="007B13AC" w:rsidP="00127AD5">
      <w:pPr>
        <w:jc w:val="both"/>
        <w:rPr>
          <w:rFonts w:cs="Calibri"/>
          <w:sz w:val="24"/>
          <w:szCs w:val="24"/>
          <w:u w:val="single"/>
        </w:rPr>
      </w:pPr>
    </w:p>
    <w:p w14:paraId="0389ADA4" w14:textId="35AA554C" w:rsidR="007B13AC" w:rsidRDefault="007B13AC" w:rsidP="00127AD5">
      <w:pPr>
        <w:jc w:val="both"/>
        <w:rPr>
          <w:rFonts w:cs="Calibri"/>
          <w:b/>
          <w:bCs/>
          <w:sz w:val="24"/>
          <w:szCs w:val="24"/>
        </w:rPr>
      </w:pPr>
      <w:r w:rsidRPr="007B13AC">
        <w:rPr>
          <w:rFonts w:cs="Calibri"/>
          <w:b/>
          <w:bCs/>
          <w:sz w:val="24"/>
          <w:szCs w:val="24"/>
        </w:rPr>
        <w:t>Repositorio en GitHub:</w:t>
      </w:r>
    </w:p>
    <w:p w14:paraId="5975AB0E" w14:textId="77777777" w:rsidR="007B13AC" w:rsidRDefault="007B13AC" w:rsidP="00127AD5">
      <w:pPr>
        <w:jc w:val="both"/>
        <w:rPr>
          <w:rFonts w:cs="Calibri"/>
          <w:b/>
          <w:bCs/>
          <w:sz w:val="24"/>
          <w:szCs w:val="24"/>
        </w:rPr>
      </w:pPr>
    </w:p>
    <w:p w14:paraId="520DEAE2" w14:textId="7C9BAEBE" w:rsidR="007B13AC" w:rsidRDefault="007B13AC" w:rsidP="007B13AC">
      <w:pPr>
        <w:jc w:val="center"/>
        <w:rPr>
          <w:rFonts w:cs="Calibri"/>
          <w:b/>
          <w:bCs/>
          <w:sz w:val="24"/>
          <w:szCs w:val="24"/>
        </w:rPr>
      </w:pPr>
      <w:hyperlink r:id="rId5" w:history="1">
        <w:r w:rsidRPr="000006F6">
          <w:rPr>
            <w:rStyle w:val="Hipervnculo"/>
            <w:rFonts w:cs="Calibri"/>
            <w:b/>
            <w:bCs/>
            <w:sz w:val="24"/>
            <w:szCs w:val="24"/>
          </w:rPr>
          <w:t>https://github.com/Alejo-Mon/Colombia_digital_V2</w:t>
        </w:r>
      </w:hyperlink>
    </w:p>
    <w:p w14:paraId="324150FC" w14:textId="77777777" w:rsidR="007B13AC" w:rsidRDefault="007B13AC" w:rsidP="00127AD5">
      <w:pPr>
        <w:jc w:val="both"/>
        <w:rPr>
          <w:rFonts w:cs="Calibri"/>
          <w:b/>
          <w:bCs/>
          <w:sz w:val="24"/>
          <w:szCs w:val="24"/>
        </w:rPr>
      </w:pPr>
    </w:p>
    <w:p w14:paraId="11D5372E" w14:textId="7E8AEA09" w:rsidR="0074512D" w:rsidRPr="0074512D" w:rsidRDefault="0074512D" w:rsidP="00127AD5">
      <w:pPr>
        <w:jc w:val="both"/>
        <w:rPr>
          <w:rFonts w:cs="Calibri"/>
          <w:b/>
          <w:bCs/>
          <w:sz w:val="24"/>
          <w:szCs w:val="24"/>
        </w:rPr>
      </w:pPr>
      <w:r w:rsidRPr="0074512D">
        <w:rPr>
          <w:rFonts w:cs="Calibri"/>
          <w:b/>
          <w:bCs/>
          <w:sz w:val="24"/>
          <w:szCs w:val="24"/>
        </w:rPr>
        <w:t>Contexto</w:t>
      </w:r>
    </w:p>
    <w:p w14:paraId="3BB28ED7" w14:textId="77777777" w:rsidR="0074512D" w:rsidRPr="0074512D" w:rsidRDefault="0074512D" w:rsidP="00127AD5">
      <w:pPr>
        <w:jc w:val="both"/>
        <w:rPr>
          <w:rFonts w:cs="Calibri"/>
          <w:sz w:val="24"/>
          <w:szCs w:val="24"/>
        </w:rPr>
      </w:pPr>
      <w:r w:rsidRPr="0074512D">
        <w:rPr>
          <w:rFonts w:cs="Calibri"/>
          <w:sz w:val="24"/>
          <w:szCs w:val="24"/>
        </w:rPr>
        <w:t>La brecha digital en Colombia se manifiesta en el acceso desigual a Internet y a computadores en los hogares, lo cual limita el uso de recursos educativos en línea y profundiza desigualdades sociales preexistentes. Entre los factores más determinantes de esta disparidad se encuentran la zona de residencia (urbana/rural) y el nivel socioeconómico, a los que se suman la edad, el género y el nivel educativo del hogar.</w:t>
      </w:r>
    </w:p>
    <w:p w14:paraId="4C1EB19C" w14:textId="77777777" w:rsidR="0074512D" w:rsidRPr="0074512D" w:rsidRDefault="0074512D" w:rsidP="00127AD5">
      <w:pPr>
        <w:jc w:val="both"/>
        <w:rPr>
          <w:rFonts w:cs="Calibri"/>
          <w:sz w:val="24"/>
          <w:szCs w:val="24"/>
        </w:rPr>
      </w:pPr>
      <w:r w:rsidRPr="0074512D">
        <w:rPr>
          <w:rFonts w:cs="Calibri"/>
          <w:sz w:val="24"/>
          <w:szCs w:val="24"/>
        </w:rPr>
        <w:t xml:space="preserve">En un primer momento se exploraron diversas bases de datos, incluyendo la </w:t>
      </w:r>
      <w:proofErr w:type="spellStart"/>
      <w:r w:rsidRPr="0074512D">
        <w:rPr>
          <w:rFonts w:cs="Calibri"/>
          <w:sz w:val="24"/>
          <w:szCs w:val="24"/>
        </w:rPr>
        <w:t>World</w:t>
      </w:r>
      <w:proofErr w:type="spellEnd"/>
      <w:r w:rsidRPr="0074512D">
        <w:rPr>
          <w:rFonts w:cs="Calibri"/>
          <w:sz w:val="24"/>
          <w:szCs w:val="24"/>
        </w:rPr>
        <w:t xml:space="preserve"> </w:t>
      </w:r>
      <w:proofErr w:type="spellStart"/>
      <w:r w:rsidRPr="0074512D">
        <w:rPr>
          <w:rFonts w:cs="Calibri"/>
          <w:sz w:val="24"/>
          <w:szCs w:val="24"/>
        </w:rPr>
        <w:t>Values</w:t>
      </w:r>
      <w:proofErr w:type="spellEnd"/>
      <w:r w:rsidRPr="0074512D">
        <w:rPr>
          <w:rFonts w:cs="Calibri"/>
          <w:sz w:val="24"/>
          <w:szCs w:val="24"/>
        </w:rPr>
        <w:t xml:space="preserve"> </w:t>
      </w:r>
      <w:proofErr w:type="spellStart"/>
      <w:r w:rsidRPr="0074512D">
        <w:rPr>
          <w:rFonts w:cs="Calibri"/>
          <w:sz w:val="24"/>
          <w:szCs w:val="24"/>
        </w:rPr>
        <w:t>Survey</w:t>
      </w:r>
      <w:proofErr w:type="spellEnd"/>
      <w:r w:rsidRPr="0074512D">
        <w:rPr>
          <w:rFonts w:cs="Calibri"/>
          <w:sz w:val="24"/>
          <w:szCs w:val="24"/>
        </w:rPr>
        <w:t xml:space="preserve"> Wave 7 (2017–2022); sin embargo, esta no contaba con la desagregación suficiente para el análisis requerido. Por ello, el estudio se centró en la Encuesta de Calidad de Vida (ECV) del DANE (2018–2024), que ofrece información detallada sobre el acceso tecnológico de los hogares colombianos.</w:t>
      </w:r>
    </w:p>
    <w:p w14:paraId="50908FE7" w14:textId="77777777" w:rsidR="0074512D" w:rsidRPr="0074512D" w:rsidRDefault="0074512D" w:rsidP="00127AD5">
      <w:pPr>
        <w:jc w:val="both"/>
        <w:rPr>
          <w:rFonts w:cs="Calibri"/>
          <w:sz w:val="24"/>
          <w:szCs w:val="24"/>
        </w:rPr>
      </w:pPr>
      <w:r w:rsidRPr="0074512D">
        <w:rPr>
          <w:rFonts w:cs="Calibri"/>
          <w:sz w:val="24"/>
          <w:szCs w:val="24"/>
        </w:rPr>
        <w:t>Este análisis busca no solo medir la disponibilidad de equipos y conectividad, sino también examinar cómo estas condiciones influyen en la continuidad educativa. A partir de ello, se pretende identificar a los grupos más rezagados y ofrecer evidencia que oriente el diseño de políticas públicas que promuevan un acceso más equitativo a las tecnologías digitales y al aprendizaje en línea.</w:t>
      </w:r>
    </w:p>
    <w:p w14:paraId="01EA89AB" w14:textId="77777777" w:rsidR="0074512D" w:rsidRPr="0074512D" w:rsidRDefault="0074512D" w:rsidP="00127AD5">
      <w:pPr>
        <w:jc w:val="both"/>
        <w:rPr>
          <w:rFonts w:cs="Calibri"/>
          <w:b/>
          <w:bCs/>
          <w:sz w:val="24"/>
          <w:szCs w:val="24"/>
        </w:rPr>
      </w:pPr>
      <w:r w:rsidRPr="0074512D">
        <w:rPr>
          <w:rFonts w:cs="Calibri"/>
          <w:b/>
          <w:bCs/>
          <w:sz w:val="24"/>
          <w:szCs w:val="24"/>
        </w:rPr>
        <w:t>Planteamiento del Problema</w:t>
      </w:r>
    </w:p>
    <w:p w14:paraId="1DB01EBF" w14:textId="77777777" w:rsidR="0074512D" w:rsidRPr="0074512D" w:rsidRDefault="0074512D" w:rsidP="00127AD5">
      <w:pPr>
        <w:jc w:val="both"/>
        <w:rPr>
          <w:rFonts w:cs="Calibri"/>
          <w:sz w:val="24"/>
          <w:szCs w:val="24"/>
        </w:rPr>
      </w:pPr>
      <w:r w:rsidRPr="0074512D">
        <w:rPr>
          <w:rFonts w:cs="Calibri"/>
          <w:sz w:val="24"/>
          <w:szCs w:val="24"/>
        </w:rPr>
        <w:t>Pese a los avances de Colombia en materia de infraestructura digital y en la formulación de políticas orientadas a ampliar la conectividad, persisten desigualdades profundas en el acceso a Internet y a dispositivos tecnológicos en los hogares. Estas brechas:</w:t>
      </w:r>
    </w:p>
    <w:p w14:paraId="08983827" w14:textId="77777777" w:rsidR="0074512D" w:rsidRPr="0074512D" w:rsidRDefault="0074512D" w:rsidP="00127AD5">
      <w:pPr>
        <w:numPr>
          <w:ilvl w:val="0"/>
          <w:numId w:val="6"/>
        </w:numPr>
        <w:jc w:val="both"/>
        <w:rPr>
          <w:rFonts w:cs="Calibri"/>
          <w:sz w:val="24"/>
          <w:szCs w:val="24"/>
        </w:rPr>
      </w:pPr>
      <w:r w:rsidRPr="0074512D">
        <w:rPr>
          <w:rFonts w:cs="Calibri"/>
          <w:sz w:val="24"/>
          <w:szCs w:val="24"/>
        </w:rPr>
        <w:t>se asocian con la zona de residencia, el nivel de ingreso, la educación del hogar, la edad y el género;</w:t>
      </w:r>
    </w:p>
    <w:p w14:paraId="52AEE22F" w14:textId="77777777" w:rsidR="0074512D" w:rsidRPr="0074512D" w:rsidRDefault="0074512D" w:rsidP="00127AD5">
      <w:pPr>
        <w:numPr>
          <w:ilvl w:val="0"/>
          <w:numId w:val="6"/>
        </w:numPr>
        <w:jc w:val="both"/>
        <w:rPr>
          <w:rFonts w:cs="Calibri"/>
          <w:sz w:val="24"/>
          <w:szCs w:val="24"/>
        </w:rPr>
      </w:pPr>
      <w:r w:rsidRPr="0074512D">
        <w:rPr>
          <w:rFonts w:cs="Calibri"/>
          <w:sz w:val="24"/>
          <w:szCs w:val="24"/>
        </w:rPr>
        <w:lastRenderedPageBreak/>
        <w:t>restringen el aprovechamiento de recursos educativos digitales;</w:t>
      </w:r>
    </w:p>
    <w:p w14:paraId="1A27F523" w14:textId="77777777" w:rsidR="0074512D" w:rsidRPr="0074512D" w:rsidRDefault="0074512D" w:rsidP="00127AD5">
      <w:pPr>
        <w:numPr>
          <w:ilvl w:val="0"/>
          <w:numId w:val="6"/>
        </w:numPr>
        <w:jc w:val="both"/>
        <w:rPr>
          <w:rFonts w:cs="Calibri"/>
          <w:sz w:val="24"/>
          <w:szCs w:val="24"/>
        </w:rPr>
      </w:pPr>
      <w:r w:rsidRPr="0074512D">
        <w:rPr>
          <w:rFonts w:cs="Calibri"/>
          <w:sz w:val="24"/>
          <w:szCs w:val="24"/>
        </w:rPr>
        <w:t>aumentan el riesgo de deserción escolar y afectan la calidad del aprendizaje, en particular en contextos de educación remota.</w:t>
      </w:r>
    </w:p>
    <w:p w14:paraId="75D2EC4F" w14:textId="4C3A9C37" w:rsidR="0074512D" w:rsidRPr="00127AD5" w:rsidRDefault="0074512D" w:rsidP="00127AD5">
      <w:pPr>
        <w:jc w:val="both"/>
        <w:rPr>
          <w:rFonts w:cs="Calibri"/>
          <w:sz w:val="24"/>
          <w:szCs w:val="24"/>
        </w:rPr>
      </w:pPr>
      <w:r w:rsidRPr="0074512D">
        <w:rPr>
          <w:rFonts w:cs="Calibri"/>
          <w:sz w:val="24"/>
          <w:szCs w:val="24"/>
        </w:rPr>
        <w:t xml:space="preserve">La ausencia de mediciones claras, sistemáticas y comparables en el tiempo dificulta el diseño de intervenciones eficaces. En este sentido, el análisis de los datos de la ECV (2018–2024), apoyado en herramientas de análisis estadístico y visualización, se convierte en un insumo </w:t>
      </w:r>
      <w:r w:rsidRPr="00127AD5">
        <w:rPr>
          <w:rFonts w:cs="Calibri"/>
          <w:sz w:val="24"/>
          <w:szCs w:val="24"/>
        </w:rPr>
        <w:t>útil</w:t>
      </w:r>
      <w:r w:rsidRPr="0074512D">
        <w:rPr>
          <w:rFonts w:cs="Calibri"/>
          <w:sz w:val="24"/>
          <w:szCs w:val="24"/>
        </w:rPr>
        <w:t xml:space="preserve"> para dimensionar las brechas </w:t>
      </w:r>
      <w:r w:rsidRPr="00127AD5">
        <w:rPr>
          <w:rFonts w:cs="Calibri"/>
          <w:sz w:val="24"/>
          <w:szCs w:val="24"/>
        </w:rPr>
        <w:t>de acceso digital</w:t>
      </w:r>
      <w:r w:rsidRPr="0074512D">
        <w:rPr>
          <w:rFonts w:cs="Calibri"/>
          <w:sz w:val="24"/>
          <w:szCs w:val="24"/>
        </w:rPr>
        <w:t xml:space="preserve"> y orientar acciones que garanticen igualdad de oportunidades educativas.</w:t>
      </w:r>
    </w:p>
    <w:p w14:paraId="37C0954D" w14:textId="77777777" w:rsidR="0074512D" w:rsidRPr="0074512D" w:rsidRDefault="0074512D" w:rsidP="00127AD5">
      <w:pPr>
        <w:jc w:val="both"/>
        <w:rPr>
          <w:rFonts w:cs="Calibri"/>
          <w:sz w:val="24"/>
          <w:szCs w:val="24"/>
        </w:rPr>
      </w:pPr>
      <w:r w:rsidRPr="0074512D">
        <w:rPr>
          <w:rFonts w:cs="Calibri"/>
          <w:b/>
          <w:bCs/>
          <w:sz w:val="24"/>
          <w:szCs w:val="24"/>
        </w:rPr>
        <w:t>Fuentes:</w:t>
      </w:r>
    </w:p>
    <w:p w14:paraId="722C7586" w14:textId="77777777" w:rsidR="0074512D" w:rsidRPr="0074512D" w:rsidRDefault="0074512D" w:rsidP="00127AD5">
      <w:pPr>
        <w:numPr>
          <w:ilvl w:val="0"/>
          <w:numId w:val="10"/>
        </w:numPr>
        <w:jc w:val="both"/>
        <w:rPr>
          <w:rFonts w:cs="Calibri"/>
          <w:sz w:val="24"/>
          <w:szCs w:val="24"/>
        </w:rPr>
      </w:pPr>
      <w:r w:rsidRPr="0074512D">
        <w:rPr>
          <w:rFonts w:cs="Calibri"/>
          <w:b/>
          <w:bCs/>
          <w:sz w:val="24"/>
          <w:szCs w:val="24"/>
        </w:rPr>
        <w:t>DANE – Encuesta de Calidad de Vida (ECV)</w:t>
      </w:r>
      <w:r w:rsidRPr="0074512D">
        <w:rPr>
          <w:rFonts w:cs="Calibri"/>
          <w:sz w:val="24"/>
          <w:szCs w:val="24"/>
        </w:rPr>
        <w:t>, anexos 2018–2024 (datos regionales de hogares, TIC y educación).</w:t>
      </w:r>
    </w:p>
    <w:p w14:paraId="2EA58B9E" w14:textId="2BE27C60" w:rsidR="0074512D" w:rsidRPr="0074512D" w:rsidRDefault="0074512D" w:rsidP="00127AD5">
      <w:pPr>
        <w:numPr>
          <w:ilvl w:val="0"/>
          <w:numId w:val="10"/>
        </w:numPr>
        <w:jc w:val="both"/>
        <w:rPr>
          <w:rFonts w:cs="Calibri"/>
          <w:sz w:val="24"/>
          <w:szCs w:val="24"/>
        </w:rPr>
      </w:pPr>
      <w:proofErr w:type="spellStart"/>
      <w:r w:rsidRPr="0074512D">
        <w:rPr>
          <w:rFonts w:cs="Calibri"/>
          <w:b/>
          <w:bCs/>
          <w:sz w:val="24"/>
          <w:szCs w:val="24"/>
        </w:rPr>
        <w:t>World</w:t>
      </w:r>
      <w:proofErr w:type="spellEnd"/>
      <w:r w:rsidRPr="0074512D">
        <w:rPr>
          <w:rFonts w:cs="Calibri"/>
          <w:b/>
          <w:bCs/>
          <w:sz w:val="24"/>
          <w:szCs w:val="24"/>
        </w:rPr>
        <w:t xml:space="preserve"> </w:t>
      </w:r>
      <w:proofErr w:type="spellStart"/>
      <w:r w:rsidRPr="0074512D">
        <w:rPr>
          <w:rFonts w:cs="Calibri"/>
          <w:b/>
          <w:bCs/>
          <w:sz w:val="24"/>
          <w:szCs w:val="24"/>
        </w:rPr>
        <w:t>Values</w:t>
      </w:r>
      <w:proofErr w:type="spellEnd"/>
      <w:r w:rsidRPr="0074512D">
        <w:rPr>
          <w:rFonts w:cs="Calibri"/>
          <w:b/>
          <w:bCs/>
          <w:sz w:val="24"/>
          <w:szCs w:val="24"/>
        </w:rPr>
        <w:t xml:space="preserve"> </w:t>
      </w:r>
      <w:proofErr w:type="spellStart"/>
      <w:r w:rsidRPr="0074512D">
        <w:rPr>
          <w:rFonts w:cs="Calibri"/>
          <w:b/>
          <w:bCs/>
          <w:sz w:val="24"/>
          <w:szCs w:val="24"/>
        </w:rPr>
        <w:t>Survey</w:t>
      </w:r>
      <w:proofErr w:type="spellEnd"/>
      <w:r w:rsidRPr="0074512D">
        <w:rPr>
          <w:rFonts w:cs="Calibri"/>
          <w:b/>
          <w:bCs/>
          <w:sz w:val="24"/>
          <w:szCs w:val="24"/>
        </w:rPr>
        <w:t xml:space="preserve"> (Wave 7, 2017–2022)</w:t>
      </w:r>
      <w:r w:rsidRPr="0074512D">
        <w:rPr>
          <w:rFonts w:cs="Calibri"/>
          <w:sz w:val="24"/>
          <w:szCs w:val="24"/>
        </w:rPr>
        <w:t>: insumo complementario para contrastes de uso de Internet y percepción digital (aunque con limitaciones para este estudio).</w:t>
      </w:r>
      <w:r w:rsidR="00F904F1">
        <w:rPr>
          <w:rFonts w:cs="Calibri"/>
          <w:sz w:val="24"/>
          <w:szCs w:val="24"/>
        </w:rPr>
        <w:t xml:space="preserve"> Descartada por no tener datos relevantes para el análisis.</w:t>
      </w:r>
    </w:p>
    <w:p w14:paraId="34C80433" w14:textId="61ABFB21" w:rsidR="0074512D" w:rsidRPr="0074512D" w:rsidRDefault="0074512D" w:rsidP="00DD53A9">
      <w:pPr>
        <w:rPr>
          <w:rFonts w:cs="Calibri"/>
          <w:b/>
          <w:bCs/>
          <w:sz w:val="24"/>
          <w:szCs w:val="24"/>
        </w:rPr>
      </w:pPr>
      <w:r w:rsidRPr="00127AD5">
        <w:rPr>
          <w:rFonts w:cs="Calibri"/>
          <w:b/>
          <w:bCs/>
          <w:sz w:val="24"/>
          <w:szCs w:val="24"/>
        </w:rPr>
        <w:t>Objetivo</w:t>
      </w:r>
      <w:r w:rsidR="00DD53A9">
        <w:rPr>
          <w:rFonts w:cs="Calibri"/>
          <w:b/>
          <w:bCs/>
          <w:sz w:val="24"/>
          <w:szCs w:val="24"/>
        </w:rPr>
        <w:t xml:space="preserve"> </w:t>
      </w:r>
      <w:r w:rsidRPr="00127AD5">
        <w:rPr>
          <w:rFonts w:cs="Calibri"/>
          <w:b/>
          <w:bCs/>
          <w:sz w:val="24"/>
          <w:szCs w:val="24"/>
        </w:rPr>
        <w:t>general</w:t>
      </w:r>
      <w:r w:rsidRPr="00127AD5">
        <w:rPr>
          <w:rFonts w:cs="Calibri"/>
          <w:b/>
          <w:bCs/>
          <w:sz w:val="24"/>
          <w:szCs w:val="24"/>
        </w:rPr>
        <w:br/>
      </w:r>
      <w:r w:rsidRPr="00127AD5">
        <w:rPr>
          <w:rFonts w:cs="Calibri"/>
          <w:sz w:val="24"/>
          <w:szCs w:val="24"/>
        </w:rPr>
        <w:br/>
        <w:t>Evaluar la brecha digital en Colombia desde una perspectiva regional, considerando el acceso a Internet y computadores en los hogares y su relación con los niveles educativos y los grupos de edad.</w:t>
      </w:r>
    </w:p>
    <w:p w14:paraId="75852B7A" w14:textId="77777777" w:rsidR="0074512D" w:rsidRPr="00127AD5" w:rsidRDefault="0074512D" w:rsidP="00127AD5">
      <w:pPr>
        <w:jc w:val="both"/>
        <w:rPr>
          <w:rFonts w:cs="Calibri"/>
          <w:b/>
          <w:bCs/>
          <w:sz w:val="24"/>
          <w:szCs w:val="24"/>
        </w:rPr>
      </w:pPr>
      <w:r w:rsidRPr="0074512D">
        <w:rPr>
          <w:rFonts w:cs="Calibri"/>
          <w:b/>
          <w:bCs/>
          <w:sz w:val="24"/>
          <w:szCs w:val="24"/>
        </w:rPr>
        <w:t xml:space="preserve">Objetivos Específicos </w:t>
      </w:r>
    </w:p>
    <w:p w14:paraId="0F2AA5A7" w14:textId="097F04EE" w:rsidR="0074512D" w:rsidRPr="00127AD5" w:rsidRDefault="0074512D" w:rsidP="00127AD5">
      <w:pPr>
        <w:pStyle w:val="Prrafodelista"/>
        <w:numPr>
          <w:ilvl w:val="0"/>
          <w:numId w:val="9"/>
        </w:numPr>
        <w:jc w:val="both"/>
        <w:rPr>
          <w:rFonts w:cs="Calibri"/>
          <w:sz w:val="24"/>
          <w:szCs w:val="24"/>
        </w:rPr>
      </w:pPr>
      <w:r w:rsidRPr="00127AD5">
        <w:rPr>
          <w:rFonts w:cs="Calibri"/>
          <w:sz w:val="24"/>
          <w:szCs w:val="24"/>
        </w:rPr>
        <w:t>Medir el porcentaje de hogares con computador e Internet por región y grupo de edad, identificando las principales disparidades territoriales y generacionales.</w:t>
      </w:r>
    </w:p>
    <w:p w14:paraId="7221A692" w14:textId="38B77489" w:rsidR="0074512D" w:rsidRPr="00127AD5" w:rsidRDefault="0074512D" w:rsidP="00127AD5">
      <w:pPr>
        <w:pStyle w:val="Prrafodelista"/>
        <w:numPr>
          <w:ilvl w:val="0"/>
          <w:numId w:val="9"/>
        </w:numPr>
        <w:jc w:val="both"/>
        <w:rPr>
          <w:rFonts w:cs="Calibri"/>
          <w:sz w:val="24"/>
          <w:szCs w:val="24"/>
        </w:rPr>
      </w:pPr>
      <w:r w:rsidRPr="00127AD5">
        <w:rPr>
          <w:rFonts w:cs="Calibri"/>
          <w:sz w:val="24"/>
          <w:szCs w:val="24"/>
        </w:rPr>
        <w:t>Analizar la relación regional entre la disponibilidad tecnológica en los hogares y los indicadores educativos (años de escolaridad, asistencia y uso de recursos en línea).</w:t>
      </w:r>
    </w:p>
    <w:p w14:paraId="25910B71" w14:textId="77777777" w:rsidR="00702E19" w:rsidRPr="00127AD5" w:rsidRDefault="0074512D" w:rsidP="00127AD5">
      <w:pPr>
        <w:pStyle w:val="Prrafodelista"/>
        <w:numPr>
          <w:ilvl w:val="0"/>
          <w:numId w:val="9"/>
        </w:numPr>
        <w:jc w:val="both"/>
        <w:rPr>
          <w:rFonts w:cs="Calibri"/>
          <w:sz w:val="24"/>
          <w:szCs w:val="24"/>
        </w:rPr>
      </w:pPr>
      <w:r w:rsidRPr="00127AD5">
        <w:rPr>
          <w:rFonts w:cs="Calibri"/>
          <w:sz w:val="24"/>
          <w:szCs w:val="24"/>
        </w:rPr>
        <w:t>Identificar las regiones y grupos etarios más rezagados en acceso tecnológico y educativo para aportar evidencia que oriente políticas públicas de inclusión digital.</w:t>
      </w:r>
    </w:p>
    <w:p w14:paraId="26CE88BD" w14:textId="77777777" w:rsidR="00702E19" w:rsidRPr="00127AD5" w:rsidRDefault="00702E19" w:rsidP="00127AD5">
      <w:pPr>
        <w:pStyle w:val="Prrafodelista"/>
        <w:jc w:val="both"/>
        <w:rPr>
          <w:rFonts w:cs="Calibri"/>
          <w:sz w:val="24"/>
          <w:szCs w:val="24"/>
        </w:rPr>
      </w:pPr>
    </w:p>
    <w:p w14:paraId="3368CE9B" w14:textId="4870B4A2" w:rsidR="0074512D" w:rsidRPr="00127AD5" w:rsidRDefault="0074512D" w:rsidP="00127AD5">
      <w:pPr>
        <w:jc w:val="both"/>
        <w:rPr>
          <w:rFonts w:cs="Calibri"/>
          <w:sz w:val="24"/>
          <w:szCs w:val="24"/>
        </w:rPr>
      </w:pPr>
      <w:r w:rsidRPr="00127AD5">
        <w:rPr>
          <w:rFonts w:cs="Calibri"/>
          <w:b/>
          <w:bCs/>
          <w:sz w:val="24"/>
          <w:szCs w:val="24"/>
        </w:rPr>
        <w:t>Métricas principales:</w:t>
      </w:r>
    </w:p>
    <w:p w14:paraId="56CAF084" w14:textId="77777777" w:rsidR="0074512D" w:rsidRPr="0074512D" w:rsidRDefault="0074512D" w:rsidP="00127AD5">
      <w:pPr>
        <w:numPr>
          <w:ilvl w:val="0"/>
          <w:numId w:val="12"/>
        </w:numPr>
        <w:jc w:val="both"/>
        <w:rPr>
          <w:rFonts w:cs="Calibri"/>
          <w:b/>
          <w:bCs/>
          <w:sz w:val="24"/>
          <w:szCs w:val="24"/>
        </w:rPr>
      </w:pPr>
      <w:r w:rsidRPr="0074512D">
        <w:rPr>
          <w:rFonts w:cs="Calibri"/>
          <w:b/>
          <w:bCs/>
          <w:sz w:val="24"/>
          <w:szCs w:val="24"/>
        </w:rPr>
        <w:t>Acceso tecnológico en el hogar:</w:t>
      </w:r>
    </w:p>
    <w:p w14:paraId="4279DA7C" w14:textId="77777777" w:rsidR="0074512D" w:rsidRPr="00FE6D5D" w:rsidRDefault="0074512D" w:rsidP="00127AD5">
      <w:pPr>
        <w:numPr>
          <w:ilvl w:val="1"/>
          <w:numId w:val="12"/>
        </w:numPr>
        <w:jc w:val="both"/>
        <w:rPr>
          <w:rFonts w:cs="Calibri"/>
          <w:sz w:val="24"/>
          <w:szCs w:val="24"/>
        </w:rPr>
      </w:pPr>
      <w:r w:rsidRPr="00FE6D5D">
        <w:rPr>
          <w:rFonts w:cs="Calibri"/>
          <w:sz w:val="24"/>
          <w:szCs w:val="24"/>
        </w:rPr>
        <w:t>% hogares con computador.</w:t>
      </w:r>
    </w:p>
    <w:p w14:paraId="57BF9B6A" w14:textId="77777777" w:rsidR="0074512D" w:rsidRPr="0074512D" w:rsidRDefault="0074512D" w:rsidP="00127AD5">
      <w:pPr>
        <w:numPr>
          <w:ilvl w:val="1"/>
          <w:numId w:val="12"/>
        </w:numPr>
        <w:jc w:val="both"/>
        <w:rPr>
          <w:rFonts w:cs="Calibri"/>
          <w:sz w:val="24"/>
          <w:szCs w:val="24"/>
        </w:rPr>
      </w:pPr>
      <w:r w:rsidRPr="0074512D">
        <w:rPr>
          <w:rFonts w:cs="Calibri"/>
          <w:sz w:val="24"/>
          <w:szCs w:val="24"/>
        </w:rPr>
        <w:t>% hogares con Internet.</w:t>
      </w:r>
    </w:p>
    <w:p w14:paraId="6CBA1F93" w14:textId="77777777" w:rsidR="0074512D" w:rsidRPr="0074512D" w:rsidRDefault="0074512D" w:rsidP="00127AD5">
      <w:pPr>
        <w:numPr>
          <w:ilvl w:val="1"/>
          <w:numId w:val="12"/>
        </w:numPr>
        <w:jc w:val="both"/>
        <w:rPr>
          <w:rFonts w:cs="Calibri"/>
          <w:sz w:val="24"/>
          <w:szCs w:val="24"/>
        </w:rPr>
      </w:pPr>
      <w:r w:rsidRPr="0074512D">
        <w:rPr>
          <w:rFonts w:cs="Calibri"/>
          <w:sz w:val="24"/>
          <w:szCs w:val="24"/>
        </w:rPr>
        <w:t>Brecha entre hogares con Internet y con PC.</w:t>
      </w:r>
    </w:p>
    <w:p w14:paraId="3B5A4416" w14:textId="77777777" w:rsidR="0074512D" w:rsidRPr="0074512D" w:rsidRDefault="0074512D" w:rsidP="00127AD5">
      <w:pPr>
        <w:numPr>
          <w:ilvl w:val="0"/>
          <w:numId w:val="12"/>
        </w:numPr>
        <w:jc w:val="both"/>
        <w:rPr>
          <w:rFonts w:cs="Calibri"/>
          <w:b/>
          <w:bCs/>
          <w:sz w:val="24"/>
          <w:szCs w:val="24"/>
        </w:rPr>
      </w:pPr>
      <w:r w:rsidRPr="0074512D">
        <w:rPr>
          <w:rFonts w:cs="Calibri"/>
          <w:b/>
          <w:bCs/>
          <w:sz w:val="24"/>
          <w:szCs w:val="24"/>
        </w:rPr>
        <w:lastRenderedPageBreak/>
        <w:t>Educación:</w:t>
      </w:r>
    </w:p>
    <w:p w14:paraId="10F2D93C" w14:textId="77777777" w:rsidR="0074512D" w:rsidRPr="0074512D" w:rsidRDefault="0074512D" w:rsidP="00127AD5">
      <w:pPr>
        <w:numPr>
          <w:ilvl w:val="1"/>
          <w:numId w:val="12"/>
        </w:numPr>
        <w:jc w:val="both"/>
        <w:rPr>
          <w:rFonts w:cs="Calibri"/>
          <w:sz w:val="24"/>
          <w:szCs w:val="24"/>
        </w:rPr>
      </w:pPr>
      <w:r w:rsidRPr="0074512D">
        <w:rPr>
          <w:rFonts w:cs="Calibri"/>
          <w:sz w:val="24"/>
          <w:szCs w:val="24"/>
        </w:rPr>
        <w:t>Años promedio de escolaridad.</w:t>
      </w:r>
    </w:p>
    <w:p w14:paraId="4F849316" w14:textId="77777777" w:rsidR="0074512D" w:rsidRPr="0074512D" w:rsidRDefault="0074512D" w:rsidP="00127AD5">
      <w:pPr>
        <w:numPr>
          <w:ilvl w:val="1"/>
          <w:numId w:val="12"/>
        </w:numPr>
        <w:jc w:val="both"/>
        <w:rPr>
          <w:rFonts w:cs="Calibri"/>
          <w:sz w:val="24"/>
          <w:szCs w:val="24"/>
        </w:rPr>
      </w:pPr>
      <w:r w:rsidRPr="0074512D">
        <w:rPr>
          <w:rFonts w:cs="Calibri"/>
          <w:sz w:val="24"/>
          <w:szCs w:val="24"/>
        </w:rPr>
        <w:t>Tasa de asistencia escolar.</w:t>
      </w:r>
    </w:p>
    <w:p w14:paraId="2C0B86FD" w14:textId="77777777" w:rsidR="0074512D" w:rsidRPr="0074512D" w:rsidRDefault="0074512D" w:rsidP="00127AD5">
      <w:pPr>
        <w:numPr>
          <w:ilvl w:val="1"/>
          <w:numId w:val="12"/>
        </w:numPr>
        <w:jc w:val="both"/>
        <w:rPr>
          <w:rFonts w:cs="Calibri"/>
          <w:sz w:val="24"/>
          <w:szCs w:val="24"/>
        </w:rPr>
      </w:pPr>
      <w:r w:rsidRPr="0074512D">
        <w:rPr>
          <w:rFonts w:cs="Calibri"/>
          <w:sz w:val="24"/>
          <w:szCs w:val="24"/>
        </w:rPr>
        <w:t>Índice educativo regional.</w:t>
      </w:r>
    </w:p>
    <w:p w14:paraId="51466323" w14:textId="77777777" w:rsidR="0074512D" w:rsidRPr="0074512D" w:rsidRDefault="0074512D" w:rsidP="00127AD5">
      <w:pPr>
        <w:numPr>
          <w:ilvl w:val="0"/>
          <w:numId w:val="12"/>
        </w:numPr>
        <w:jc w:val="both"/>
        <w:rPr>
          <w:rFonts w:cs="Calibri"/>
          <w:b/>
          <w:bCs/>
          <w:sz w:val="24"/>
          <w:szCs w:val="24"/>
        </w:rPr>
      </w:pPr>
      <w:r w:rsidRPr="0074512D">
        <w:rPr>
          <w:rFonts w:cs="Calibri"/>
          <w:b/>
          <w:bCs/>
          <w:sz w:val="24"/>
          <w:szCs w:val="24"/>
        </w:rPr>
        <w:t>Uso digital por edad:</w:t>
      </w:r>
    </w:p>
    <w:p w14:paraId="14561DA5" w14:textId="77777777" w:rsidR="0074512D" w:rsidRPr="0074512D" w:rsidRDefault="0074512D" w:rsidP="00127AD5">
      <w:pPr>
        <w:numPr>
          <w:ilvl w:val="1"/>
          <w:numId w:val="12"/>
        </w:numPr>
        <w:jc w:val="both"/>
        <w:rPr>
          <w:rFonts w:cs="Calibri"/>
          <w:sz w:val="24"/>
          <w:szCs w:val="24"/>
        </w:rPr>
      </w:pPr>
      <w:r w:rsidRPr="0074512D">
        <w:rPr>
          <w:rFonts w:cs="Calibri"/>
          <w:sz w:val="24"/>
          <w:szCs w:val="24"/>
        </w:rPr>
        <w:t>Uso de recursos educativos en línea según grupo etario.</w:t>
      </w:r>
    </w:p>
    <w:p w14:paraId="46BBF3F2" w14:textId="77777777" w:rsidR="0074512D" w:rsidRPr="0074512D" w:rsidRDefault="0074512D" w:rsidP="00127AD5">
      <w:pPr>
        <w:numPr>
          <w:ilvl w:val="1"/>
          <w:numId w:val="12"/>
        </w:numPr>
        <w:jc w:val="both"/>
        <w:rPr>
          <w:rFonts w:cs="Calibri"/>
          <w:sz w:val="24"/>
          <w:szCs w:val="24"/>
        </w:rPr>
      </w:pPr>
      <w:r w:rsidRPr="0074512D">
        <w:rPr>
          <w:rFonts w:cs="Calibri"/>
          <w:sz w:val="24"/>
          <w:szCs w:val="24"/>
        </w:rPr>
        <w:t>Distribución de hogares con computador según edad del jefe de hogar.</w:t>
      </w:r>
    </w:p>
    <w:p w14:paraId="338A5CD0" w14:textId="77777777" w:rsidR="0074512D" w:rsidRPr="0074512D" w:rsidRDefault="0074512D" w:rsidP="00127AD5">
      <w:pPr>
        <w:numPr>
          <w:ilvl w:val="0"/>
          <w:numId w:val="12"/>
        </w:numPr>
        <w:jc w:val="both"/>
        <w:rPr>
          <w:rFonts w:cs="Calibri"/>
          <w:b/>
          <w:bCs/>
          <w:sz w:val="24"/>
          <w:szCs w:val="24"/>
        </w:rPr>
      </w:pPr>
      <w:r w:rsidRPr="0074512D">
        <w:rPr>
          <w:rFonts w:cs="Calibri"/>
          <w:b/>
          <w:bCs/>
          <w:sz w:val="24"/>
          <w:szCs w:val="24"/>
        </w:rPr>
        <w:t>Brechas regionales:</w:t>
      </w:r>
    </w:p>
    <w:p w14:paraId="5E175F7E" w14:textId="77777777" w:rsidR="0074512D" w:rsidRPr="0074512D" w:rsidRDefault="0074512D" w:rsidP="00127AD5">
      <w:pPr>
        <w:numPr>
          <w:ilvl w:val="1"/>
          <w:numId w:val="12"/>
        </w:numPr>
        <w:jc w:val="both"/>
        <w:rPr>
          <w:rFonts w:cs="Calibri"/>
          <w:sz w:val="24"/>
          <w:szCs w:val="24"/>
        </w:rPr>
      </w:pPr>
      <w:r w:rsidRPr="0074512D">
        <w:rPr>
          <w:rFonts w:cs="Calibri"/>
          <w:sz w:val="24"/>
          <w:szCs w:val="24"/>
        </w:rPr>
        <w:t>Diferencias en acceso TIC y educación entre regiones.</w:t>
      </w:r>
    </w:p>
    <w:p w14:paraId="41B74D00" w14:textId="77777777" w:rsidR="0074512D" w:rsidRPr="0074512D" w:rsidRDefault="0074512D" w:rsidP="00127AD5">
      <w:pPr>
        <w:numPr>
          <w:ilvl w:val="1"/>
          <w:numId w:val="12"/>
        </w:numPr>
        <w:jc w:val="both"/>
        <w:rPr>
          <w:rFonts w:cs="Calibri"/>
          <w:b/>
          <w:bCs/>
          <w:sz w:val="24"/>
          <w:szCs w:val="24"/>
        </w:rPr>
      </w:pPr>
      <w:r w:rsidRPr="0074512D">
        <w:rPr>
          <w:rFonts w:cs="Calibri"/>
          <w:sz w:val="24"/>
          <w:szCs w:val="24"/>
        </w:rPr>
        <w:t>Identificación de regiones más rezagadas.</w:t>
      </w:r>
    </w:p>
    <w:p w14:paraId="6DA10A3A" w14:textId="3011C5E1" w:rsidR="0074512D" w:rsidRPr="00127AD5" w:rsidRDefault="0074512D" w:rsidP="00127AD5">
      <w:pPr>
        <w:jc w:val="both"/>
        <w:rPr>
          <w:rFonts w:cs="Calibri"/>
          <w:b/>
          <w:bCs/>
          <w:sz w:val="24"/>
          <w:szCs w:val="24"/>
        </w:rPr>
      </w:pPr>
    </w:p>
    <w:p w14:paraId="41B8B280" w14:textId="2C5F94CD" w:rsidR="00702E19" w:rsidRPr="00FE6D5D" w:rsidRDefault="00702E19" w:rsidP="00FE6D5D">
      <w:pPr>
        <w:jc w:val="both"/>
        <w:rPr>
          <w:rFonts w:cs="Calibri"/>
          <w:b/>
          <w:bCs/>
          <w:sz w:val="24"/>
          <w:szCs w:val="24"/>
        </w:rPr>
      </w:pPr>
      <w:r w:rsidRPr="00FE6D5D">
        <w:rPr>
          <w:rFonts w:cs="Calibri"/>
          <w:b/>
          <w:bCs/>
          <w:sz w:val="24"/>
          <w:szCs w:val="24"/>
        </w:rPr>
        <w:t>Componente Técnico del Proyecto</w:t>
      </w:r>
    </w:p>
    <w:p w14:paraId="28CEF847" w14:textId="77777777" w:rsidR="00702E19" w:rsidRPr="00702E19" w:rsidRDefault="00702E19" w:rsidP="00127AD5">
      <w:pPr>
        <w:jc w:val="both"/>
        <w:rPr>
          <w:rFonts w:cs="Calibri"/>
          <w:b/>
          <w:bCs/>
          <w:sz w:val="24"/>
          <w:szCs w:val="24"/>
        </w:rPr>
      </w:pPr>
      <w:r w:rsidRPr="00702E19">
        <w:rPr>
          <w:rFonts w:cs="Calibri"/>
          <w:b/>
          <w:bCs/>
          <w:sz w:val="24"/>
          <w:szCs w:val="24"/>
        </w:rPr>
        <w:t>Lenguaje principal</w:t>
      </w:r>
    </w:p>
    <w:p w14:paraId="4ADAA74E" w14:textId="25E48CD2" w:rsidR="00702E19" w:rsidRPr="00702E19" w:rsidRDefault="00702E19" w:rsidP="00127AD5">
      <w:pPr>
        <w:numPr>
          <w:ilvl w:val="0"/>
          <w:numId w:val="17"/>
        </w:numPr>
        <w:jc w:val="both"/>
        <w:rPr>
          <w:rFonts w:cs="Calibri"/>
          <w:sz w:val="24"/>
          <w:szCs w:val="24"/>
        </w:rPr>
      </w:pPr>
      <w:r w:rsidRPr="00702E19">
        <w:rPr>
          <w:rFonts w:cs="Calibri"/>
          <w:b/>
          <w:bCs/>
          <w:sz w:val="24"/>
          <w:szCs w:val="24"/>
        </w:rPr>
        <w:t>Python</w:t>
      </w:r>
      <w:r w:rsidRPr="00702E19">
        <w:rPr>
          <w:rFonts w:cs="Calibri"/>
          <w:sz w:val="24"/>
          <w:szCs w:val="24"/>
        </w:rPr>
        <w:t xml:space="preserve"> </w:t>
      </w:r>
      <w:r w:rsidRPr="00127AD5">
        <w:rPr>
          <w:rFonts w:cs="Calibri"/>
          <w:sz w:val="24"/>
          <w:szCs w:val="24"/>
        </w:rPr>
        <w:br/>
      </w:r>
      <w:r w:rsidRPr="00702E19">
        <w:rPr>
          <w:rFonts w:cs="Calibri"/>
          <w:sz w:val="24"/>
          <w:szCs w:val="24"/>
        </w:rPr>
        <w:t>Se utilizó como lenguaje base para procesar, analizar y visualizar los datos de la brecha digital.</w:t>
      </w:r>
    </w:p>
    <w:p w14:paraId="415135C6" w14:textId="76DC1B70" w:rsidR="00702E19" w:rsidRPr="00702E19" w:rsidRDefault="00702E19" w:rsidP="00127AD5">
      <w:pPr>
        <w:jc w:val="both"/>
        <w:rPr>
          <w:rFonts w:cs="Calibri"/>
          <w:b/>
          <w:bCs/>
          <w:sz w:val="24"/>
          <w:szCs w:val="24"/>
        </w:rPr>
      </w:pPr>
      <w:r w:rsidRPr="00702E19">
        <w:rPr>
          <w:rFonts w:cs="Calibri"/>
          <w:b/>
          <w:bCs/>
          <w:sz w:val="24"/>
          <w:szCs w:val="24"/>
        </w:rPr>
        <w:t>Librerías para análisis de datos</w:t>
      </w:r>
    </w:p>
    <w:p w14:paraId="6388CFFC" w14:textId="77777777" w:rsidR="00702E19" w:rsidRPr="00702E19" w:rsidRDefault="00702E19" w:rsidP="00127AD5">
      <w:pPr>
        <w:numPr>
          <w:ilvl w:val="0"/>
          <w:numId w:val="18"/>
        </w:numPr>
        <w:jc w:val="both"/>
        <w:rPr>
          <w:rFonts w:cs="Calibri"/>
          <w:sz w:val="24"/>
          <w:szCs w:val="24"/>
        </w:rPr>
      </w:pPr>
      <w:r w:rsidRPr="00702E19">
        <w:rPr>
          <w:rFonts w:cs="Calibri"/>
          <w:b/>
          <w:bCs/>
          <w:sz w:val="24"/>
          <w:szCs w:val="24"/>
        </w:rPr>
        <w:t>pandas</w:t>
      </w:r>
      <w:r w:rsidRPr="00702E19">
        <w:rPr>
          <w:rFonts w:cs="Calibri"/>
          <w:sz w:val="24"/>
          <w:szCs w:val="24"/>
        </w:rPr>
        <w:t xml:space="preserve"> → Para cargar los </w:t>
      </w:r>
      <w:proofErr w:type="spellStart"/>
      <w:r w:rsidRPr="00702E19">
        <w:rPr>
          <w:rFonts w:cs="Calibri"/>
          <w:sz w:val="24"/>
          <w:szCs w:val="24"/>
        </w:rPr>
        <w:t>datasets</w:t>
      </w:r>
      <w:proofErr w:type="spellEnd"/>
      <w:r w:rsidRPr="00702E19">
        <w:rPr>
          <w:rFonts w:cs="Calibri"/>
          <w:sz w:val="24"/>
          <w:szCs w:val="24"/>
        </w:rPr>
        <w:t xml:space="preserve">, limpiarlos, unificarlos y transformarlos en </w:t>
      </w:r>
      <w:proofErr w:type="spellStart"/>
      <w:r w:rsidRPr="00702E19">
        <w:rPr>
          <w:rFonts w:cs="Calibri"/>
          <w:sz w:val="24"/>
          <w:szCs w:val="24"/>
        </w:rPr>
        <w:t>DataFrames</w:t>
      </w:r>
      <w:proofErr w:type="spellEnd"/>
      <w:r w:rsidRPr="00702E19">
        <w:rPr>
          <w:rFonts w:cs="Calibri"/>
          <w:sz w:val="24"/>
          <w:szCs w:val="24"/>
        </w:rPr>
        <w:t xml:space="preserve"> listos para análisis.</w:t>
      </w:r>
    </w:p>
    <w:p w14:paraId="129FD556" w14:textId="77777777" w:rsidR="00702E19" w:rsidRPr="00702E19" w:rsidRDefault="00702E19" w:rsidP="00127AD5">
      <w:pPr>
        <w:numPr>
          <w:ilvl w:val="0"/>
          <w:numId w:val="18"/>
        </w:numPr>
        <w:jc w:val="both"/>
        <w:rPr>
          <w:rFonts w:cs="Calibri"/>
          <w:sz w:val="24"/>
          <w:szCs w:val="24"/>
        </w:rPr>
      </w:pPr>
      <w:proofErr w:type="spellStart"/>
      <w:r w:rsidRPr="00702E19">
        <w:rPr>
          <w:rFonts w:cs="Calibri"/>
          <w:b/>
          <w:bCs/>
          <w:sz w:val="24"/>
          <w:szCs w:val="24"/>
        </w:rPr>
        <w:t>numpy</w:t>
      </w:r>
      <w:proofErr w:type="spellEnd"/>
      <w:r w:rsidRPr="00702E19">
        <w:rPr>
          <w:rFonts w:cs="Calibri"/>
          <w:sz w:val="24"/>
          <w:szCs w:val="24"/>
        </w:rPr>
        <w:t xml:space="preserve"> → Para realizar operaciones numéricas y cálculos en las métricas (índices y correlaciones).</w:t>
      </w:r>
    </w:p>
    <w:p w14:paraId="18C7EF1B" w14:textId="77777777" w:rsidR="00702E19" w:rsidRPr="00702E19" w:rsidRDefault="00702E19" w:rsidP="00127AD5">
      <w:pPr>
        <w:numPr>
          <w:ilvl w:val="0"/>
          <w:numId w:val="18"/>
        </w:numPr>
        <w:jc w:val="both"/>
        <w:rPr>
          <w:rFonts w:cs="Calibri"/>
          <w:sz w:val="24"/>
          <w:szCs w:val="24"/>
        </w:rPr>
      </w:pPr>
      <w:proofErr w:type="spellStart"/>
      <w:r w:rsidRPr="00702E19">
        <w:rPr>
          <w:rFonts w:cs="Calibri"/>
          <w:b/>
          <w:bCs/>
          <w:sz w:val="24"/>
          <w:szCs w:val="24"/>
        </w:rPr>
        <w:t>matplotlib</w:t>
      </w:r>
      <w:proofErr w:type="spellEnd"/>
      <w:r w:rsidRPr="00702E19">
        <w:rPr>
          <w:rFonts w:cs="Calibri"/>
          <w:sz w:val="24"/>
          <w:szCs w:val="24"/>
        </w:rPr>
        <w:t xml:space="preserve"> → Para generar gráficos estáticos y personalizar la presentación visual de los resultados.</w:t>
      </w:r>
    </w:p>
    <w:p w14:paraId="4D5F52EA" w14:textId="5E23F523" w:rsidR="00702E19" w:rsidRPr="00702E19" w:rsidRDefault="00702E19" w:rsidP="00127AD5">
      <w:pPr>
        <w:numPr>
          <w:ilvl w:val="0"/>
          <w:numId w:val="18"/>
        </w:numPr>
        <w:jc w:val="both"/>
        <w:rPr>
          <w:rFonts w:cs="Calibri"/>
          <w:sz w:val="24"/>
          <w:szCs w:val="24"/>
        </w:rPr>
      </w:pPr>
      <w:proofErr w:type="spellStart"/>
      <w:r w:rsidRPr="00702E19">
        <w:rPr>
          <w:rFonts w:cs="Calibri"/>
          <w:b/>
          <w:bCs/>
          <w:sz w:val="24"/>
          <w:szCs w:val="24"/>
        </w:rPr>
        <w:t>seaborn</w:t>
      </w:r>
      <w:proofErr w:type="spellEnd"/>
      <w:r w:rsidRPr="00702E19">
        <w:rPr>
          <w:rFonts w:cs="Calibri"/>
          <w:sz w:val="24"/>
          <w:szCs w:val="24"/>
        </w:rPr>
        <w:t xml:space="preserve"> → Para crear gráficos estadísticos atractivos (barras, regresiones, correlaciones) de manera más sencilla.</w:t>
      </w:r>
    </w:p>
    <w:p w14:paraId="5CFCCAE0" w14:textId="63C292D7" w:rsidR="00702E19" w:rsidRPr="00702E19" w:rsidRDefault="00702E19" w:rsidP="00127AD5">
      <w:pPr>
        <w:jc w:val="both"/>
        <w:rPr>
          <w:rFonts w:cs="Calibri"/>
          <w:b/>
          <w:bCs/>
          <w:sz w:val="24"/>
          <w:szCs w:val="24"/>
        </w:rPr>
      </w:pPr>
      <w:r w:rsidRPr="00702E19">
        <w:rPr>
          <w:rFonts w:cs="Calibri"/>
          <w:b/>
          <w:bCs/>
          <w:sz w:val="24"/>
          <w:szCs w:val="24"/>
        </w:rPr>
        <w:t>Herramientas de desarrollo</w:t>
      </w:r>
    </w:p>
    <w:p w14:paraId="68FFD47B" w14:textId="77777777" w:rsidR="00702E19" w:rsidRPr="00702E19" w:rsidRDefault="00702E19" w:rsidP="00127AD5">
      <w:pPr>
        <w:numPr>
          <w:ilvl w:val="0"/>
          <w:numId w:val="19"/>
        </w:numPr>
        <w:tabs>
          <w:tab w:val="num" w:pos="720"/>
        </w:tabs>
        <w:jc w:val="both"/>
        <w:rPr>
          <w:rFonts w:cs="Calibri"/>
          <w:sz w:val="24"/>
          <w:szCs w:val="24"/>
        </w:rPr>
      </w:pPr>
      <w:proofErr w:type="spellStart"/>
      <w:r w:rsidRPr="00702E19">
        <w:rPr>
          <w:rFonts w:cs="Calibri"/>
          <w:b/>
          <w:bCs/>
          <w:sz w:val="24"/>
          <w:szCs w:val="24"/>
        </w:rPr>
        <w:t>Jupyter</w:t>
      </w:r>
      <w:proofErr w:type="spellEnd"/>
      <w:r w:rsidRPr="00702E19">
        <w:rPr>
          <w:rFonts w:cs="Calibri"/>
          <w:b/>
          <w:bCs/>
          <w:sz w:val="24"/>
          <w:szCs w:val="24"/>
        </w:rPr>
        <w:t xml:space="preserve"> Notebook / Google </w:t>
      </w:r>
      <w:proofErr w:type="spellStart"/>
      <w:r w:rsidRPr="00702E19">
        <w:rPr>
          <w:rFonts w:cs="Calibri"/>
          <w:b/>
          <w:bCs/>
          <w:sz w:val="24"/>
          <w:szCs w:val="24"/>
        </w:rPr>
        <w:t>Colab</w:t>
      </w:r>
      <w:proofErr w:type="spellEnd"/>
      <w:r w:rsidRPr="00702E19">
        <w:rPr>
          <w:rFonts w:cs="Calibri"/>
          <w:sz w:val="24"/>
          <w:szCs w:val="24"/>
        </w:rPr>
        <w:t xml:space="preserve"> → Para integrar código, visualizaciones y explicaciones en un solo entorno de trabajo.</w:t>
      </w:r>
    </w:p>
    <w:p w14:paraId="18E56774" w14:textId="11858858" w:rsidR="00702E19" w:rsidRPr="00702E19" w:rsidRDefault="00702E19" w:rsidP="00127AD5">
      <w:pPr>
        <w:numPr>
          <w:ilvl w:val="0"/>
          <w:numId w:val="19"/>
        </w:numPr>
        <w:tabs>
          <w:tab w:val="num" w:pos="720"/>
        </w:tabs>
        <w:jc w:val="both"/>
        <w:rPr>
          <w:rFonts w:cs="Calibri"/>
          <w:sz w:val="24"/>
          <w:szCs w:val="24"/>
        </w:rPr>
      </w:pPr>
      <w:r w:rsidRPr="00702E19">
        <w:rPr>
          <w:rFonts w:cs="Calibri"/>
          <w:b/>
          <w:bCs/>
          <w:sz w:val="24"/>
          <w:szCs w:val="24"/>
        </w:rPr>
        <w:t>Git y GitHub</w:t>
      </w:r>
      <w:r w:rsidRPr="00702E19">
        <w:rPr>
          <w:rFonts w:cs="Calibri"/>
          <w:sz w:val="24"/>
          <w:szCs w:val="24"/>
        </w:rPr>
        <w:t xml:space="preserve"> → Para control de versiones y respaldo del código y avances del proyecto de forma organizada.</w:t>
      </w:r>
    </w:p>
    <w:p w14:paraId="33BE9958" w14:textId="1E345B06" w:rsidR="00702E19" w:rsidRPr="00702E19" w:rsidRDefault="00702E19" w:rsidP="00127AD5">
      <w:pPr>
        <w:jc w:val="both"/>
        <w:rPr>
          <w:rFonts w:cs="Calibri"/>
          <w:b/>
          <w:bCs/>
          <w:sz w:val="24"/>
          <w:szCs w:val="24"/>
        </w:rPr>
      </w:pPr>
      <w:r w:rsidRPr="00702E19">
        <w:rPr>
          <w:rFonts w:cs="Calibri"/>
          <w:b/>
          <w:bCs/>
          <w:sz w:val="24"/>
          <w:szCs w:val="24"/>
        </w:rPr>
        <w:lastRenderedPageBreak/>
        <w:t>Lenguajes y tecnologías web (difusión de resultados)</w:t>
      </w:r>
    </w:p>
    <w:p w14:paraId="320D9465" w14:textId="77777777" w:rsidR="00702E19" w:rsidRPr="00702E19" w:rsidRDefault="00702E19" w:rsidP="00127AD5">
      <w:pPr>
        <w:numPr>
          <w:ilvl w:val="0"/>
          <w:numId w:val="20"/>
        </w:numPr>
        <w:jc w:val="both"/>
        <w:rPr>
          <w:rFonts w:cs="Calibri"/>
          <w:sz w:val="24"/>
          <w:szCs w:val="24"/>
        </w:rPr>
      </w:pPr>
      <w:r w:rsidRPr="00702E19">
        <w:rPr>
          <w:rFonts w:cs="Calibri"/>
          <w:b/>
          <w:bCs/>
          <w:sz w:val="24"/>
          <w:szCs w:val="24"/>
        </w:rPr>
        <w:t>HTML</w:t>
      </w:r>
      <w:r w:rsidRPr="00702E19">
        <w:rPr>
          <w:rFonts w:cs="Calibri"/>
          <w:sz w:val="24"/>
          <w:szCs w:val="24"/>
        </w:rPr>
        <w:t xml:space="preserve"> → Para estructurar las páginas de presentación de resultados y conclusiones.</w:t>
      </w:r>
    </w:p>
    <w:p w14:paraId="4E02AED9" w14:textId="77777777" w:rsidR="00702E19" w:rsidRPr="00702E19" w:rsidRDefault="00702E19" w:rsidP="00127AD5">
      <w:pPr>
        <w:numPr>
          <w:ilvl w:val="0"/>
          <w:numId w:val="20"/>
        </w:numPr>
        <w:jc w:val="both"/>
        <w:rPr>
          <w:rFonts w:cs="Calibri"/>
          <w:sz w:val="24"/>
          <w:szCs w:val="24"/>
        </w:rPr>
      </w:pPr>
      <w:r w:rsidRPr="00702E19">
        <w:rPr>
          <w:rFonts w:cs="Calibri"/>
          <w:b/>
          <w:bCs/>
          <w:sz w:val="24"/>
          <w:szCs w:val="24"/>
        </w:rPr>
        <w:t>CSS</w:t>
      </w:r>
      <w:r w:rsidRPr="00702E19">
        <w:rPr>
          <w:rFonts w:cs="Calibri"/>
          <w:sz w:val="24"/>
          <w:szCs w:val="24"/>
        </w:rPr>
        <w:t xml:space="preserve"> → Para dar estilo visual y diseño responsivo a los contenidos web del proyecto.</w:t>
      </w:r>
    </w:p>
    <w:p w14:paraId="57FA9199" w14:textId="77777777" w:rsidR="00702E19" w:rsidRPr="00702E19" w:rsidRDefault="00702E19" w:rsidP="00127AD5">
      <w:pPr>
        <w:numPr>
          <w:ilvl w:val="0"/>
          <w:numId w:val="20"/>
        </w:numPr>
        <w:jc w:val="both"/>
        <w:rPr>
          <w:rFonts w:cs="Calibri"/>
          <w:sz w:val="24"/>
          <w:szCs w:val="24"/>
        </w:rPr>
      </w:pPr>
      <w:r w:rsidRPr="00702E19">
        <w:rPr>
          <w:rFonts w:cs="Calibri"/>
          <w:b/>
          <w:bCs/>
          <w:sz w:val="24"/>
          <w:szCs w:val="24"/>
        </w:rPr>
        <w:t>JavaScript</w:t>
      </w:r>
      <w:r w:rsidRPr="00702E19">
        <w:rPr>
          <w:rFonts w:cs="Calibri"/>
          <w:sz w:val="24"/>
          <w:szCs w:val="24"/>
        </w:rPr>
        <w:t xml:space="preserve"> → Para agregar interactividad en la web, como menús dinámicos o gráficos embebidos.</w:t>
      </w:r>
    </w:p>
    <w:p w14:paraId="1404F6FF" w14:textId="15FE25EA" w:rsidR="00127AD5" w:rsidRPr="00127AD5" w:rsidRDefault="00127AD5" w:rsidP="00127AD5">
      <w:pPr>
        <w:jc w:val="both"/>
        <w:rPr>
          <w:rFonts w:cs="Calibri"/>
          <w:b/>
          <w:bCs/>
          <w:sz w:val="24"/>
          <w:szCs w:val="24"/>
        </w:rPr>
      </w:pPr>
      <w:r w:rsidRPr="00127AD5">
        <w:rPr>
          <w:rFonts w:cs="Calibri"/>
          <w:sz w:val="24"/>
          <w:szCs w:val="24"/>
        </w:rPr>
        <w:br/>
      </w:r>
      <w:r w:rsidRPr="00127AD5">
        <w:rPr>
          <w:rFonts w:cs="Calibri"/>
          <w:b/>
          <w:bCs/>
          <w:sz w:val="24"/>
          <w:szCs w:val="24"/>
        </w:rPr>
        <w:t>Conclusiones</w:t>
      </w:r>
    </w:p>
    <w:p w14:paraId="1D844C03" w14:textId="448DDD32" w:rsidR="00127AD5" w:rsidRPr="00FE6D5D" w:rsidRDefault="00127AD5" w:rsidP="00127AD5">
      <w:pPr>
        <w:numPr>
          <w:ilvl w:val="0"/>
          <w:numId w:val="21"/>
        </w:numPr>
        <w:jc w:val="both"/>
        <w:rPr>
          <w:rFonts w:cs="Calibri"/>
          <w:sz w:val="24"/>
          <w:szCs w:val="24"/>
        </w:rPr>
      </w:pPr>
      <w:r w:rsidRPr="00FE6D5D">
        <w:rPr>
          <w:rFonts w:cs="Calibri"/>
          <w:sz w:val="24"/>
          <w:szCs w:val="24"/>
        </w:rPr>
        <w:t>Existe una brecha digital importante entre el acceso a internet y el acceso a computadores: la mayoría de las regiones muestran más hogares con internet que con PC.</w:t>
      </w:r>
    </w:p>
    <w:p w14:paraId="7764CB7B" w14:textId="77777777" w:rsidR="00127AD5" w:rsidRPr="00FE6D5D" w:rsidRDefault="00127AD5" w:rsidP="00127AD5">
      <w:pPr>
        <w:numPr>
          <w:ilvl w:val="0"/>
          <w:numId w:val="21"/>
        </w:numPr>
        <w:jc w:val="both"/>
        <w:rPr>
          <w:rFonts w:cs="Calibri"/>
          <w:sz w:val="24"/>
          <w:szCs w:val="24"/>
        </w:rPr>
      </w:pPr>
      <w:r w:rsidRPr="00FE6D5D">
        <w:rPr>
          <w:rFonts w:cs="Calibri"/>
          <w:sz w:val="24"/>
          <w:szCs w:val="24"/>
        </w:rPr>
        <w:t>El acceso a internet está relacionado positivamente con la asistencia escolar, lo que sugiere que la conectividad apoya la permanencia educativa.</w:t>
      </w:r>
    </w:p>
    <w:p w14:paraId="70DF16F5" w14:textId="77777777" w:rsidR="00127AD5" w:rsidRPr="00FE6D5D" w:rsidRDefault="00127AD5" w:rsidP="00127AD5">
      <w:pPr>
        <w:numPr>
          <w:ilvl w:val="0"/>
          <w:numId w:val="21"/>
        </w:numPr>
        <w:jc w:val="both"/>
        <w:rPr>
          <w:rFonts w:cs="Calibri"/>
          <w:sz w:val="24"/>
          <w:szCs w:val="24"/>
        </w:rPr>
      </w:pPr>
      <w:r w:rsidRPr="00FE6D5D">
        <w:rPr>
          <w:rFonts w:cs="Calibri"/>
          <w:sz w:val="24"/>
          <w:szCs w:val="24"/>
        </w:rPr>
        <w:t>El índice TIC se asocia directamente con el índice educativo, lo que confirma que mayor infraestructura tecnológica favorece mejores indicadores educativos.</w:t>
      </w:r>
    </w:p>
    <w:p w14:paraId="398096C9" w14:textId="12E2A05A" w:rsidR="00127AD5" w:rsidRPr="00FE6D5D" w:rsidRDefault="00127AD5" w:rsidP="00127AD5">
      <w:pPr>
        <w:numPr>
          <w:ilvl w:val="0"/>
          <w:numId w:val="21"/>
        </w:numPr>
        <w:jc w:val="both"/>
        <w:rPr>
          <w:rFonts w:cs="Calibri"/>
          <w:sz w:val="24"/>
          <w:szCs w:val="24"/>
        </w:rPr>
      </w:pPr>
      <w:r w:rsidRPr="00FE6D5D">
        <w:rPr>
          <w:rFonts w:cs="Calibri"/>
          <w:sz w:val="24"/>
          <w:szCs w:val="24"/>
        </w:rPr>
        <w:t>Las diferencias regionales son grandes: regiones como Bogotá y Antioquia están muy por encima de departamentos amazónicos o del Pacífico, lo que evidencia las brechas que hay para el acceso para algunas poblaciones del país.</w:t>
      </w:r>
    </w:p>
    <w:p w14:paraId="4BF21335" w14:textId="20B77A46" w:rsidR="00127AD5" w:rsidRPr="00127AD5" w:rsidRDefault="00127AD5" w:rsidP="00127AD5">
      <w:pPr>
        <w:numPr>
          <w:ilvl w:val="0"/>
          <w:numId w:val="21"/>
        </w:numPr>
        <w:jc w:val="both"/>
        <w:rPr>
          <w:rFonts w:cs="Calibri"/>
          <w:b/>
          <w:bCs/>
          <w:sz w:val="24"/>
          <w:szCs w:val="24"/>
        </w:rPr>
      </w:pPr>
      <w:r w:rsidRPr="00FE6D5D">
        <w:rPr>
          <w:rFonts w:cs="Calibri"/>
          <w:sz w:val="24"/>
          <w:szCs w:val="24"/>
        </w:rPr>
        <w:t>El uso de recursos online y la presencia de PC en el hogar varían según la edad: los adultos jóvenes son quienes más los utilizan, mientras que los hogares con jefes de edad avanzada tienden a tener menor acceso</w:t>
      </w:r>
      <w:r w:rsidRPr="00127AD5">
        <w:rPr>
          <w:rFonts w:cs="Calibri"/>
          <w:sz w:val="24"/>
          <w:szCs w:val="24"/>
        </w:rPr>
        <w:t>.</w:t>
      </w:r>
      <w:r>
        <w:rPr>
          <w:rFonts w:cs="Calibri"/>
          <w:sz w:val="24"/>
          <w:szCs w:val="24"/>
        </w:rPr>
        <w:br/>
      </w:r>
    </w:p>
    <w:p w14:paraId="2DC86BAE" w14:textId="77777777" w:rsidR="00127AD5" w:rsidRPr="00127AD5" w:rsidRDefault="00127AD5" w:rsidP="00127AD5">
      <w:pPr>
        <w:jc w:val="both"/>
        <w:rPr>
          <w:rFonts w:cs="Calibri"/>
          <w:b/>
          <w:bCs/>
          <w:sz w:val="24"/>
          <w:szCs w:val="24"/>
        </w:rPr>
      </w:pPr>
      <w:r w:rsidRPr="00127AD5">
        <w:rPr>
          <w:rFonts w:cs="Calibri"/>
          <w:b/>
          <w:bCs/>
          <w:sz w:val="24"/>
          <w:szCs w:val="24"/>
        </w:rPr>
        <w:t>Interpretación de cada gráfico</w:t>
      </w:r>
    </w:p>
    <w:p w14:paraId="7B2F5DC0" w14:textId="20D7BCBC" w:rsidR="00127AD5" w:rsidRPr="00127AD5" w:rsidRDefault="00127AD5" w:rsidP="00127AD5">
      <w:pPr>
        <w:jc w:val="both"/>
        <w:rPr>
          <w:rFonts w:cs="Calibri"/>
          <w:b/>
          <w:bCs/>
          <w:sz w:val="24"/>
          <w:szCs w:val="24"/>
        </w:rPr>
      </w:pPr>
      <w:r w:rsidRPr="00127AD5">
        <w:rPr>
          <w:rFonts w:cs="Calibri"/>
          <w:b/>
          <w:bCs/>
          <w:sz w:val="24"/>
          <w:szCs w:val="24"/>
        </w:rPr>
        <w:t>1. Porcentaje de hogares con PC e Internet por región</w:t>
      </w:r>
    </w:p>
    <w:p w14:paraId="3BDD21C6" w14:textId="0F704208" w:rsidR="00127AD5" w:rsidRPr="00127AD5" w:rsidRDefault="00127AD5" w:rsidP="00127AD5">
      <w:pPr>
        <w:jc w:val="both"/>
        <w:rPr>
          <w:rFonts w:cs="Calibri"/>
          <w:sz w:val="24"/>
          <w:szCs w:val="24"/>
        </w:rPr>
      </w:pPr>
      <w:r w:rsidRPr="00127AD5">
        <w:rPr>
          <w:rFonts w:cs="Calibri"/>
          <w:sz w:val="24"/>
          <w:szCs w:val="24"/>
        </w:rPr>
        <w:t>El gráfico de barras muestra que en todas las regiones el porcentaje de hogares con internet es mayor que el de hogares con computador. Esto indica que la conectividad se está expandiendo más rápido que la dotación de equipos físicos. Las diferencias son notables: Bogotá y Antioquia tienen altos niveles, mientras que departamentos amazónicos y del Pacífico están rezagados.</w:t>
      </w:r>
    </w:p>
    <w:p w14:paraId="27B8CF5F" w14:textId="60A1D631" w:rsidR="00127AD5" w:rsidRPr="00127AD5" w:rsidRDefault="00127AD5" w:rsidP="00127AD5">
      <w:pPr>
        <w:jc w:val="both"/>
        <w:rPr>
          <w:rFonts w:cs="Calibri"/>
          <w:b/>
          <w:bCs/>
          <w:sz w:val="24"/>
          <w:szCs w:val="24"/>
        </w:rPr>
      </w:pPr>
      <w:r w:rsidRPr="00127AD5">
        <w:rPr>
          <w:rFonts w:cs="Calibri"/>
          <w:b/>
          <w:bCs/>
          <w:sz w:val="24"/>
          <w:szCs w:val="24"/>
        </w:rPr>
        <w:t>2. Brecha entre hogares con Internet vs PC por región</w:t>
      </w:r>
    </w:p>
    <w:p w14:paraId="0B3CB235" w14:textId="3BA2F2DD" w:rsidR="00127AD5" w:rsidRPr="00127AD5" w:rsidRDefault="00127AD5" w:rsidP="00127AD5">
      <w:pPr>
        <w:jc w:val="both"/>
        <w:rPr>
          <w:rFonts w:cs="Calibri"/>
          <w:sz w:val="24"/>
          <w:szCs w:val="24"/>
        </w:rPr>
      </w:pPr>
      <w:r w:rsidRPr="00127AD5">
        <w:rPr>
          <w:rFonts w:cs="Calibri"/>
          <w:sz w:val="24"/>
          <w:szCs w:val="24"/>
        </w:rPr>
        <w:t xml:space="preserve">Aquí se observa la diferencia porcentual entre hogares con internet y hogares con computador. Bogotá y Atlántico presentan las mayores brechas (más internet que PC), mientras que departamentos como Vaupés o Vichada muestran una diferencia mucho </w:t>
      </w:r>
      <w:r w:rsidRPr="00127AD5">
        <w:rPr>
          <w:rFonts w:cs="Calibri"/>
          <w:sz w:val="24"/>
          <w:szCs w:val="24"/>
        </w:rPr>
        <w:lastRenderedPageBreak/>
        <w:t>menor, aunque por niveles bajos en ambos indicadores. Esto refleja desigualdades en el acceso a dispositivos frente a la conectividad.</w:t>
      </w:r>
    </w:p>
    <w:p w14:paraId="7234AC0D" w14:textId="754BD2B0" w:rsidR="00127AD5" w:rsidRPr="00127AD5" w:rsidRDefault="00127AD5" w:rsidP="00127AD5">
      <w:pPr>
        <w:jc w:val="both"/>
        <w:rPr>
          <w:rFonts w:cs="Calibri"/>
          <w:b/>
          <w:bCs/>
          <w:sz w:val="24"/>
          <w:szCs w:val="24"/>
        </w:rPr>
      </w:pPr>
      <w:r w:rsidRPr="00127AD5">
        <w:rPr>
          <w:rFonts w:cs="Calibri"/>
          <w:b/>
          <w:bCs/>
          <w:sz w:val="24"/>
          <w:szCs w:val="24"/>
        </w:rPr>
        <w:t>3. Relación Internet en el hogar vs Asistencia escolar por región</w:t>
      </w:r>
    </w:p>
    <w:p w14:paraId="08269FC4" w14:textId="78DE91EF" w:rsidR="00127AD5" w:rsidRPr="00127AD5" w:rsidRDefault="00127AD5" w:rsidP="00127AD5">
      <w:pPr>
        <w:jc w:val="both"/>
        <w:rPr>
          <w:rFonts w:cs="Calibri"/>
          <w:sz w:val="24"/>
          <w:szCs w:val="24"/>
        </w:rPr>
      </w:pPr>
      <w:r w:rsidRPr="00127AD5">
        <w:rPr>
          <w:rFonts w:cs="Calibri"/>
          <w:sz w:val="24"/>
          <w:szCs w:val="24"/>
        </w:rPr>
        <w:t xml:space="preserve">Este gráfico de doble eje muestra que las regiones con mayor porcentaje de hogares con internet también tienen mayores tasas de asistencia escolar. La tendencia indica una correlación positiva: la conectividad favorece el acceso y permanencia en el sistema educativo, aunque algunas regiones tienen mejor </w:t>
      </w:r>
      <w:proofErr w:type="gramStart"/>
      <w:r w:rsidRPr="00127AD5">
        <w:rPr>
          <w:rFonts w:cs="Calibri"/>
          <w:sz w:val="24"/>
          <w:szCs w:val="24"/>
        </w:rPr>
        <w:t>internet</w:t>
      </w:r>
      <w:proofErr w:type="gramEnd"/>
      <w:r w:rsidRPr="00127AD5">
        <w:rPr>
          <w:rFonts w:cs="Calibri"/>
          <w:sz w:val="24"/>
          <w:szCs w:val="24"/>
        </w:rPr>
        <w:t xml:space="preserve"> pero no necesariamente la asistencia escolar más alta.</w:t>
      </w:r>
    </w:p>
    <w:p w14:paraId="412AB8E5" w14:textId="0D918287" w:rsidR="00127AD5" w:rsidRPr="00127AD5" w:rsidRDefault="00127AD5" w:rsidP="00127AD5">
      <w:pPr>
        <w:jc w:val="both"/>
        <w:rPr>
          <w:rFonts w:cs="Calibri"/>
          <w:b/>
          <w:bCs/>
          <w:sz w:val="24"/>
          <w:szCs w:val="24"/>
        </w:rPr>
      </w:pPr>
      <w:r w:rsidRPr="00127AD5">
        <w:rPr>
          <w:rFonts w:cs="Calibri"/>
          <w:b/>
          <w:bCs/>
          <w:sz w:val="24"/>
          <w:szCs w:val="24"/>
        </w:rPr>
        <w:t>4. Computador en el hogar vs Años de escolaridad promedio</w:t>
      </w:r>
    </w:p>
    <w:p w14:paraId="76B04A30" w14:textId="22491C88" w:rsidR="00127AD5" w:rsidRPr="00127AD5" w:rsidRDefault="00127AD5" w:rsidP="00127AD5">
      <w:pPr>
        <w:jc w:val="both"/>
        <w:rPr>
          <w:rFonts w:cs="Calibri"/>
          <w:sz w:val="24"/>
          <w:szCs w:val="24"/>
        </w:rPr>
      </w:pPr>
      <w:r w:rsidRPr="00127AD5">
        <w:rPr>
          <w:rFonts w:cs="Calibri"/>
          <w:sz w:val="24"/>
          <w:szCs w:val="24"/>
        </w:rPr>
        <w:t>El diagrama de dispersión evidencia que no existe una relación lineal clara entre el porcentaje de hogares con PC y los años de escolaridad promedio. Sin embargo, regiones con más computadores suelen tener al menos un nivel intermedio de escolaridad. Esto sugiere que otros factores socioeconómicos también influyen en la educación.</w:t>
      </w:r>
    </w:p>
    <w:p w14:paraId="7E8823D7" w14:textId="69D85CAE" w:rsidR="00127AD5" w:rsidRPr="00127AD5" w:rsidRDefault="00127AD5" w:rsidP="00127AD5">
      <w:pPr>
        <w:jc w:val="both"/>
        <w:rPr>
          <w:rFonts w:cs="Calibri"/>
          <w:b/>
          <w:bCs/>
          <w:sz w:val="24"/>
          <w:szCs w:val="24"/>
        </w:rPr>
      </w:pPr>
      <w:r w:rsidRPr="00127AD5">
        <w:rPr>
          <w:rFonts w:cs="Calibri"/>
          <w:b/>
          <w:bCs/>
          <w:sz w:val="24"/>
          <w:szCs w:val="24"/>
        </w:rPr>
        <w:t>5. Índice TIC vs Índice educativo con línea de regresión</w:t>
      </w:r>
    </w:p>
    <w:p w14:paraId="28991B22" w14:textId="39DA8C6C" w:rsidR="00127AD5" w:rsidRPr="00127AD5" w:rsidRDefault="00127AD5" w:rsidP="00127AD5">
      <w:pPr>
        <w:jc w:val="both"/>
        <w:rPr>
          <w:rFonts w:cs="Calibri"/>
          <w:sz w:val="24"/>
          <w:szCs w:val="24"/>
        </w:rPr>
      </w:pPr>
      <w:r w:rsidRPr="00127AD5">
        <w:rPr>
          <w:rFonts w:cs="Calibri"/>
          <w:sz w:val="24"/>
          <w:szCs w:val="24"/>
        </w:rPr>
        <w:t>Aquí sí se ve una relación positiva y fuerte: a mayor índice TIC (infraestructura tecnológica), mayor índice educativo. La línea de regresión confirma una correlación significativa, lo que respalda la hipótesis de que la inversión en tecnología y conectividad impulsa resultados educativos.</w:t>
      </w:r>
    </w:p>
    <w:p w14:paraId="28D56489" w14:textId="2C685FCC" w:rsidR="00127AD5" w:rsidRPr="00127AD5" w:rsidRDefault="00127AD5" w:rsidP="00127AD5">
      <w:pPr>
        <w:jc w:val="both"/>
        <w:rPr>
          <w:rFonts w:cs="Calibri"/>
          <w:b/>
          <w:bCs/>
          <w:sz w:val="24"/>
          <w:szCs w:val="24"/>
        </w:rPr>
      </w:pPr>
      <w:r w:rsidRPr="00127AD5">
        <w:rPr>
          <w:rFonts w:cs="Calibri"/>
          <w:b/>
          <w:bCs/>
          <w:sz w:val="24"/>
          <w:szCs w:val="24"/>
        </w:rPr>
        <w:t>6. Hogares con PC por grupo de edad</w:t>
      </w:r>
    </w:p>
    <w:p w14:paraId="1D74FC9A" w14:textId="33F54B3E" w:rsidR="00127AD5" w:rsidRPr="00127AD5" w:rsidRDefault="00127AD5" w:rsidP="00127AD5">
      <w:pPr>
        <w:jc w:val="both"/>
        <w:rPr>
          <w:rFonts w:cs="Calibri"/>
          <w:sz w:val="24"/>
          <w:szCs w:val="24"/>
        </w:rPr>
      </w:pPr>
      <w:r w:rsidRPr="00127AD5">
        <w:rPr>
          <w:rFonts w:cs="Calibri"/>
          <w:sz w:val="24"/>
          <w:szCs w:val="24"/>
        </w:rPr>
        <w:t>El gráfico de barras indica que los hogares con jefes entre 31 y 50 años son los que tienen más computadores. En cambio, los hogares con jefes de edad avanzada (60+) muestran menores porcentajes. Esto refleja cómo la edad influye en la adopción de tecnologías, con mayor presencia de PC en generaciones productivas y menores en adultos mayores.</w:t>
      </w:r>
    </w:p>
    <w:p w14:paraId="4B04B6F7" w14:textId="3B2FCDC1" w:rsidR="00127AD5" w:rsidRPr="00127AD5" w:rsidRDefault="00127AD5" w:rsidP="00127AD5">
      <w:pPr>
        <w:jc w:val="both"/>
        <w:rPr>
          <w:rFonts w:cs="Calibri"/>
          <w:b/>
          <w:bCs/>
          <w:sz w:val="24"/>
          <w:szCs w:val="24"/>
        </w:rPr>
      </w:pPr>
      <w:r w:rsidRPr="00127AD5">
        <w:rPr>
          <w:rFonts w:cs="Calibri"/>
          <w:b/>
          <w:bCs/>
          <w:sz w:val="24"/>
          <w:szCs w:val="24"/>
        </w:rPr>
        <w:t>7. Uso de recursos online por grupo de edad</w:t>
      </w:r>
    </w:p>
    <w:p w14:paraId="0A99C563" w14:textId="0EEBF85A" w:rsidR="00702E19" w:rsidRPr="0074512D" w:rsidRDefault="00127AD5" w:rsidP="00127AD5">
      <w:pPr>
        <w:jc w:val="both"/>
        <w:rPr>
          <w:rFonts w:cs="Calibri"/>
          <w:sz w:val="24"/>
          <w:szCs w:val="24"/>
        </w:rPr>
      </w:pPr>
      <w:r w:rsidRPr="00127AD5">
        <w:rPr>
          <w:rFonts w:cs="Calibri"/>
          <w:sz w:val="24"/>
          <w:szCs w:val="24"/>
        </w:rPr>
        <w:t>Este gráfico muestra que el grupo de 13 a 18 años es el que más usa recursos online, seguido por los jóvenes de 19 a 25 años. Los niños pequeños y adultos mayores tienen un uso mucho menor. Esto confirma que los adolescentes son los principales usuarios de internet con fines educativos y recreativos.</w:t>
      </w:r>
    </w:p>
    <w:p w14:paraId="7E48189D" w14:textId="77777777" w:rsidR="00127AD5" w:rsidRPr="00127AD5" w:rsidRDefault="00127AD5" w:rsidP="00127AD5">
      <w:pPr>
        <w:jc w:val="both"/>
        <w:rPr>
          <w:rFonts w:cs="Calibri"/>
          <w:b/>
          <w:bCs/>
          <w:sz w:val="24"/>
          <w:szCs w:val="24"/>
        </w:rPr>
      </w:pPr>
      <w:r w:rsidRPr="00127AD5">
        <w:rPr>
          <w:rFonts w:cs="Calibri"/>
          <w:b/>
          <w:bCs/>
          <w:sz w:val="24"/>
          <w:szCs w:val="24"/>
        </w:rPr>
        <w:t>Conceptos estadísticos/analíticos usados</w:t>
      </w:r>
    </w:p>
    <w:p w14:paraId="2EE527C9" w14:textId="77777777" w:rsidR="00127AD5" w:rsidRPr="00127AD5" w:rsidRDefault="00127AD5" w:rsidP="00127AD5">
      <w:pPr>
        <w:numPr>
          <w:ilvl w:val="0"/>
          <w:numId w:val="22"/>
        </w:numPr>
        <w:jc w:val="both"/>
        <w:rPr>
          <w:rFonts w:cs="Calibri"/>
          <w:sz w:val="24"/>
          <w:szCs w:val="24"/>
        </w:rPr>
      </w:pPr>
      <w:r w:rsidRPr="00127AD5">
        <w:rPr>
          <w:rFonts w:cs="Calibri"/>
          <w:b/>
          <w:bCs/>
          <w:sz w:val="24"/>
          <w:szCs w:val="24"/>
        </w:rPr>
        <w:t>Correlación</w:t>
      </w:r>
      <w:r w:rsidRPr="00127AD5">
        <w:rPr>
          <w:rFonts w:cs="Calibri"/>
          <w:sz w:val="24"/>
          <w:szCs w:val="24"/>
        </w:rPr>
        <w:t>: mide la relación lineal entre dos variables (</w:t>
      </w:r>
      <w:proofErr w:type="spellStart"/>
      <w:r w:rsidRPr="00127AD5">
        <w:rPr>
          <w:rFonts w:cs="Calibri"/>
          <w:sz w:val="24"/>
          <w:szCs w:val="24"/>
        </w:rPr>
        <w:t>ej</w:t>
      </w:r>
      <w:proofErr w:type="spellEnd"/>
      <w:r w:rsidRPr="00127AD5">
        <w:rPr>
          <w:rFonts w:cs="Calibri"/>
          <w:sz w:val="24"/>
          <w:szCs w:val="24"/>
        </w:rPr>
        <w:t>: TIC vs Educación).</w:t>
      </w:r>
    </w:p>
    <w:p w14:paraId="28342176" w14:textId="77777777" w:rsidR="00127AD5" w:rsidRPr="00127AD5" w:rsidRDefault="00127AD5" w:rsidP="00127AD5">
      <w:pPr>
        <w:numPr>
          <w:ilvl w:val="0"/>
          <w:numId w:val="22"/>
        </w:numPr>
        <w:jc w:val="both"/>
        <w:rPr>
          <w:rFonts w:cs="Calibri"/>
          <w:sz w:val="24"/>
          <w:szCs w:val="24"/>
        </w:rPr>
      </w:pPr>
      <w:r w:rsidRPr="00127AD5">
        <w:rPr>
          <w:rFonts w:cs="Calibri"/>
          <w:b/>
          <w:bCs/>
          <w:sz w:val="24"/>
          <w:szCs w:val="24"/>
        </w:rPr>
        <w:t>Índice</w:t>
      </w:r>
      <w:r w:rsidRPr="00127AD5">
        <w:rPr>
          <w:rFonts w:cs="Calibri"/>
          <w:sz w:val="24"/>
          <w:szCs w:val="24"/>
        </w:rPr>
        <w:t>: combinación de varias variables en una sola métrica.</w:t>
      </w:r>
    </w:p>
    <w:p w14:paraId="72F484BB" w14:textId="77777777" w:rsidR="00127AD5" w:rsidRPr="00127AD5" w:rsidRDefault="00127AD5" w:rsidP="00127AD5">
      <w:pPr>
        <w:numPr>
          <w:ilvl w:val="0"/>
          <w:numId w:val="22"/>
        </w:numPr>
        <w:jc w:val="both"/>
        <w:rPr>
          <w:rFonts w:cs="Calibri"/>
          <w:sz w:val="24"/>
          <w:szCs w:val="24"/>
        </w:rPr>
      </w:pPr>
      <w:r w:rsidRPr="00127AD5">
        <w:rPr>
          <w:rFonts w:cs="Calibri"/>
          <w:b/>
          <w:bCs/>
          <w:sz w:val="24"/>
          <w:szCs w:val="24"/>
        </w:rPr>
        <w:t>Normalización</w:t>
      </w:r>
      <w:r w:rsidRPr="00127AD5">
        <w:rPr>
          <w:rFonts w:cs="Calibri"/>
          <w:sz w:val="24"/>
          <w:szCs w:val="24"/>
        </w:rPr>
        <w:t>: transformación para llevar variables a una misma escala (0–1).</w:t>
      </w:r>
    </w:p>
    <w:p w14:paraId="2994E41C" w14:textId="77777777" w:rsidR="00127AD5" w:rsidRPr="00127AD5" w:rsidRDefault="00127AD5" w:rsidP="00127AD5">
      <w:pPr>
        <w:numPr>
          <w:ilvl w:val="0"/>
          <w:numId w:val="22"/>
        </w:numPr>
        <w:jc w:val="both"/>
        <w:rPr>
          <w:rFonts w:cs="Calibri"/>
          <w:sz w:val="24"/>
          <w:szCs w:val="24"/>
        </w:rPr>
      </w:pPr>
      <w:r w:rsidRPr="00127AD5">
        <w:rPr>
          <w:rFonts w:cs="Calibri"/>
          <w:b/>
          <w:bCs/>
          <w:sz w:val="24"/>
          <w:szCs w:val="24"/>
        </w:rPr>
        <w:lastRenderedPageBreak/>
        <w:t>Brecha digital</w:t>
      </w:r>
      <w:r w:rsidRPr="00127AD5">
        <w:rPr>
          <w:rFonts w:cs="Calibri"/>
          <w:sz w:val="24"/>
          <w:szCs w:val="24"/>
        </w:rPr>
        <w:t>: diferencia en el acceso o uso de TIC entre grupos sociales/regionales.</w:t>
      </w:r>
    </w:p>
    <w:p w14:paraId="09F40999" w14:textId="56124DF4" w:rsidR="0074512D" w:rsidRDefault="0074512D" w:rsidP="0074512D"/>
    <w:sectPr w:rsidR="007451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0C35"/>
    <w:multiLevelType w:val="multilevel"/>
    <w:tmpl w:val="E44255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A05195"/>
    <w:multiLevelType w:val="multilevel"/>
    <w:tmpl w:val="35BA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E2B30"/>
    <w:multiLevelType w:val="multilevel"/>
    <w:tmpl w:val="151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546B0"/>
    <w:multiLevelType w:val="multilevel"/>
    <w:tmpl w:val="39DA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41A9C"/>
    <w:multiLevelType w:val="multilevel"/>
    <w:tmpl w:val="0E9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093F"/>
    <w:multiLevelType w:val="multilevel"/>
    <w:tmpl w:val="E02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10703"/>
    <w:multiLevelType w:val="multilevel"/>
    <w:tmpl w:val="512EE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42272"/>
    <w:multiLevelType w:val="multilevel"/>
    <w:tmpl w:val="5506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577A0"/>
    <w:multiLevelType w:val="multilevel"/>
    <w:tmpl w:val="EBA6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67D0C31"/>
    <w:multiLevelType w:val="multilevel"/>
    <w:tmpl w:val="BFA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E6663"/>
    <w:multiLevelType w:val="multilevel"/>
    <w:tmpl w:val="556CAC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BD22D95"/>
    <w:multiLevelType w:val="multilevel"/>
    <w:tmpl w:val="AC4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20EDD"/>
    <w:multiLevelType w:val="hybridMultilevel"/>
    <w:tmpl w:val="BED0E0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FE74164"/>
    <w:multiLevelType w:val="multilevel"/>
    <w:tmpl w:val="9B8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A08D1"/>
    <w:multiLevelType w:val="multilevel"/>
    <w:tmpl w:val="C1161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4FF29CF"/>
    <w:multiLevelType w:val="multilevel"/>
    <w:tmpl w:val="3E0A6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B6EB1"/>
    <w:multiLevelType w:val="hybridMultilevel"/>
    <w:tmpl w:val="B82E65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F5E5ED0"/>
    <w:multiLevelType w:val="multilevel"/>
    <w:tmpl w:val="47E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051ED"/>
    <w:multiLevelType w:val="multilevel"/>
    <w:tmpl w:val="83D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341BD"/>
    <w:multiLevelType w:val="multilevel"/>
    <w:tmpl w:val="896ECD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D43620D"/>
    <w:multiLevelType w:val="multilevel"/>
    <w:tmpl w:val="9EA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06FE0"/>
    <w:multiLevelType w:val="multilevel"/>
    <w:tmpl w:val="8B746C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B6C1F66"/>
    <w:multiLevelType w:val="multilevel"/>
    <w:tmpl w:val="693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903542">
    <w:abstractNumId w:val="3"/>
  </w:num>
  <w:num w:numId="2" w16cid:durableId="1657414850">
    <w:abstractNumId w:val="15"/>
  </w:num>
  <w:num w:numId="3" w16cid:durableId="1596744404">
    <w:abstractNumId w:val="17"/>
  </w:num>
  <w:num w:numId="4" w16cid:durableId="97063262">
    <w:abstractNumId w:val="6"/>
  </w:num>
  <w:num w:numId="5" w16cid:durableId="311250007">
    <w:abstractNumId w:val="22"/>
  </w:num>
  <w:num w:numId="6" w16cid:durableId="202179900">
    <w:abstractNumId w:val="5"/>
  </w:num>
  <w:num w:numId="7" w16cid:durableId="956989387">
    <w:abstractNumId w:val="2"/>
  </w:num>
  <w:num w:numId="8" w16cid:durableId="1312249653">
    <w:abstractNumId w:val="1"/>
  </w:num>
  <w:num w:numId="9" w16cid:durableId="313066558">
    <w:abstractNumId w:val="16"/>
  </w:num>
  <w:num w:numId="10" w16cid:durableId="1629628071">
    <w:abstractNumId w:val="20"/>
  </w:num>
  <w:num w:numId="11" w16cid:durableId="1000736415">
    <w:abstractNumId w:val="4"/>
  </w:num>
  <w:num w:numId="12" w16cid:durableId="1926915462">
    <w:abstractNumId w:val="21"/>
  </w:num>
  <w:num w:numId="13" w16cid:durableId="2078478107">
    <w:abstractNumId w:val="19"/>
  </w:num>
  <w:num w:numId="14" w16cid:durableId="1120346349">
    <w:abstractNumId w:val="11"/>
  </w:num>
  <w:num w:numId="15" w16cid:durableId="1735351052">
    <w:abstractNumId w:val="18"/>
  </w:num>
  <w:num w:numId="16" w16cid:durableId="284384839">
    <w:abstractNumId w:val="9"/>
  </w:num>
  <w:num w:numId="17" w16cid:durableId="996032791">
    <w:abstractNumId w:val="8"/>
  </w:num>
  <w:num w:numId="18" w16cid:durableId="1890606154">
    <w:abstractNumId w:val="14"/>
  </w:num>
  <w:num w:numId="19" w16cid:durableId="656495484">
    <w:abstractNumId w:val="10"/>
  </w:num>
  <w:num w:numId="20" w16cid:durableId="1243874252">
    <w:abstractNumId w:val="0"/>
  </w:num>
  <w:num w:numId="21" w16cid:durableId="716898554">
    <w:abstractNumId w:val="7"/>
  </w:num>
  <w:num w:numId="22" w16cid:durableId="896085775">
    <w:abstractNumId w:val="13"/>
  </w:num>
  <w:num w:numId="23" w16cid:durableId="368067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FE"/>
    <w:rsid w:val="00067408"/>
    <w:rsid w:val="00093524"/>
    <w:rsid w:val="00127AD5"/>
    <w:rsid w:val="00455EF3"/>
    <w:rsid w:val="004579C7"/>
    <w:rsid w:val="005F35FE"/>
    <w:rsid w:val="00610268"/>
    <w:rsid w:val="00635097"/>
    <w:rsid w:val="006F2C0D"/>
    <w:rsid w:val="00702E19"/>
    <w:rsid w:val="0074512D"/>
    <w:rsid w:val="007B13AC"/>
    <w:rsid w:val="008549A2"/>
    <w:rsid w:val="00C722FA"/>
    <w:rsid w:val="00DD53A9"/>
    <w:rsid w:val="00F32C02"/>
    <w:rsid w:val="00F904F1"/>
    <w:rsid w:val="00FE6D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CD23"/>
  <w15:chartTrackingRefBased/>
  <w15:docId w15:val="{8AACCE83-4001-451F-98CC-67646F57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3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F35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35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35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35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35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35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35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5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35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F35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35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35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35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35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35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35FE"/>
    <w:rPr>
      <w:rFonts w:eastAsiaTheme="majorEastAsia" w:cstheme="majorBidi"/>
      <w:color w:val="272727" w:themeColor="text1" w:themeTint="D8"/>
    </w:rPr>
  </w:style>
  <w:style w:type="paragraph" w:styleId="Ttulo">
    <w:name w:val="Title"/>
    <w:basedOn w:val="Normal"/>
    <w:next w:val="Normal"/>
    <w:link w:val="TtuloCar"/>
    <w:uiPriority w:val="10"/>
    <w:qFormat/>
    <w:rsid w:val="005F3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35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35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35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35FE"/>
    <w:pPr>
      <w:spacing w:before="160"/>
      <w:jc w:val="center"/>
    </w:pPr>
    <w:rPr>
      <w:i/>
      <w:iCs/>
      <w:color w:val="404040" w:themeColor="text1" w:themeTint="BF"/>
    </w:rPr>
  </w:style>
  <w:style w:type="character" w:customStyle="1" w:styleId="CitaCar">
    <w:name w:val="Cita Car"/>
    <w:basedOn w:val="Fuentedeprrafopredeter"/>
    <w:link w:val="Cita"/>
    <w:uiPriority w:val="29"/>
    <w:rsid w:val="005F35FE"/>
    <w:rPr>
      <w:i/>
      <w:iCs/>
      <w:color w:val="404040" w:themeColor="text1" w:themeTint="BF"/>
    </w:rPr>
  </w:style>
  <w:style w:type="paragraph" w:styleId="Prrafodelista">
    <w:name w:val="List Paragraph"/>
    <w:basedOn w:val="Normal"/>
    <w:uiPriority w:val="34"/>
    <w:qFormat/>
    <w:rsid w:val="005F35FE"/>
    <w:pPr>
      <w:ind w:left="720"/>
      <w:contextualSpacing/>
    </w:pPr>
  </w:style>
  <w:style w:type="character" w:styleId="nfasisintenso">
    <w:name w:val="Intense Emphasis"/>
    <w:basedOn w:val="Fuentedeprrafopredeter"/>
    <w:uiPriority w:val="21"/>
    <w:qFormat/>
    <w:rsid w:val="005F35FE"/>
    <w:rPr>
      <w:i/>
      <w:iCs/>
      <w:color w:val="0F4761" w:themeColor="accent1" w:themeShade="BF"/>
    </w:rPr>
  </w:style>
  <w:style w:type="paragraph" w:styleId="Citadestacada">
    <w:name w:val="Intense Quote"/>
    <w:basedOn w:val="Normal"/>
    <w:next w:val="Normal"/>
    <w:link w:val="CitadestacadaCar"/>
    <w:uiPriority w:val="30"/>
    <w:qFormat/>
    <w:rsid w:val="005F3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35FE"/>
    <w:rPr>
      <w:i/>
      <w:iCs/>
      <w:color w:val="0F4761" w:themeColor="accent1" w:themeShade="BF"/>
    </w:rPr>
  </w:style>
  <w:style w:type="character" w:styleId="Referenciaintensa">
    <w:name w:val="Intense Reference"/>
    <w:basedOn w:val="Fuentedeprrafopredeter"/>
    <w:uiPriority w:val="32"/>
    <w:qFormat/>
    <w:rsid w:val="005F35FE"/>
    <w:rPr>
      <w:b/>
      <w:bCs/>
      <w:smallCaps/>
      <w:color w:val="0F4761" w:themeColor="accent1" w:themeShade="BF"/>
      <w:spacing w:val="5"/>
    </w:rPr>
  </w:style>
  <w:style w:type="paragraph" w:styleId="NormalWeb">
    <w:name w:val="Normal (Web)"/>
    <w:basedOn w:val="Normal"/>
    <w:uiPriority w:val="99"/>
    <w:semiHidden/>
    <w:unhideWhenUsed/>
    <w:rsid w:val="0074512D"/>
    <w:rPr>
      <w:rFonts w:ascii="Times New Roman" w:hAnsi="Times New Roman" w:cs="Times New Roman"/>
      <w:sz w:val="24"/>
      <w:szCs w:val="24"/>
    </w:rPr>
  </w:style>
  <w:style w:type="character" w:styleId="Textoennegrita">
    <w:name w:val="Strong"/>
    <w:basedOn w:val="Fuentedeprrafopredeter"/>
    <w:uiPriority w:val="22"/>
    <w:qFormat/>
    <w:rsid w:val="00127AD5"/>
    <w:rPr>
      <w:b/>
      <w:bCs/>
    </w:rPr>
  </w:style>
  <w:style w:type="character" w:styleId="Hipervnculo">
    <w:name w:val="Hyperlink"/>
    <w:basedOn w:val="Fuentedeprrafopredeter"/>
    <w:uiPriority w:val="99"/>
    <w:unhideWhenUsed/>
    <w:rsid w:val="007B13AC"/>
    <w:rPr>
      <w:color w:val="467886" w:themeColor="hyperlink"/>
      <w:u w:val="single"/>
    </w:rPr>
  </w:style>
  <w:style w:type="character" w:styleId="Mencinsinresolver">
    <w:name w:val="Unresolved Mention"/>
    <w:basedOn w:val="Fuentedeprrafopredeter"/>
    <w:uiPriority w:val="99"/>
    <w:semiHidden/>
    <w:unhideWhenUsed/>
    <w:rsid w:val="007B1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4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jo-Mon/Colombia_digital_V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1494</Words>
  <Characters>8220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Caro Martinez</dc:creator>
  <cp:keywords/>
  <dc:description/>
  <cp:lastModifiedBy>Alejandro Montes</cp:lastModifiedBy>
  <cp:revision>8</cp:revision>
  <dcterms:created xsi:type="dcterms:W3CDTF">2025-09-26T00:15:00Z</dcterms:created>
  <dcterms:modified xsi:type="dcterms:W3CDTF">2025-09-27T18:00:00Z</dcterms:modified>
</cp:coreProperties>
</file>