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rPr>
      </w:pPr>
      <w:r w:rsidDel="00000000" w:rsidR="00000000" w:rsidRPr="00000000">
        <w:rPr>
          <w:rFonts w:ascii="Arial" w:cs="Arial" w:eastAsia="Arial" w:hAnsi="Arial"/>
          <w:b w:val="1"/>
          <w:rtl w:val="0"/>
        </w:rPr>
        <w:t xml:space="preserve">RETO 1.37</w:t>
      </w:r>
    </w:p>
    <w:tbl>
      <w:tblPr>
        <w:tblStyle w:val="Table1"/>
        <w:tblW w:w="10172.0" w:type="dxa"/>
        <w:jc w:val="left"/>
        <w:tblInd w:w="-67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9"/>
        <w:gridCol w:w="6683"/>
        <w:tblGridChange w:id="0">
          <w:tblGrid>
            <w:gridCol w:w="3489"/>
            <w:gridCol w:w="6683"/>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Nombre del reto:</w:t>
            </w:r>
          </w:p>
        </w:tc>
        <w:tc>
          <w:tcPr>
            <w:shd w:fill="auto" w:val="clear"/>
            <w:tcMar>
              <w:top w:w="100.0" w:type="dxa"/>
              <w:left w:w="100.0" w:type="dxa"/>
              <w:bottom w:w="100.0" w:type="dxa"/>
              <w:right w:w="100.0" w:type="dxa"/>
            </w:tcMar>
          </w:tcPr>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Detección de Enfermedades Tempranas</w:t>
            </w:r>
          </w:p>
        </w:tc>
      </w:tr>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Descripción del reto con su respectiva solución:</w:t>
            </w:r>
          </w:p>
        </w:tc>
      </w:tr>
      <w:tr>
        <w:trPr>
          <w:trHeight w:val="1865"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06">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Fonts w:ascii="Arial" w:cs="Arial" w:eastAsia="Arial" w:hAnsi="Arial"/>
                <w:highlight w:val="white"/>
                <w:rtl w:val="0"/>
              </w:rPr>
              <w:t xml:space="preserve">Un centro de salud desea iniciar una investigación relacionada con la detección temprana de enfermedades asociadas a funciones renales utilizando como indicador el nivel de creatinina en el organismo. </w:t>
            </w:r>
          </w:p>
          <w:p w:rsidR="00000000" w:rsidDel="00000000" w:rsidP="00000000" w:rsidRDefault="00000000" w:rsidRPr="00000000" w14:paraId="00000007">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Fonts w:ascii="Arial" w:cs="Arial" w:eastAsia="Arial" w:hAnsi="Arial"/>
                <w:highlight w:val="white"/>
                <w:rtl w:val="0"/>
              </w:rPr>
              <w:t xml:space="preserve">La creatinina se puede medir a través de muestras de laboratorio tanto en sangre como en orina, y sus valores normales son los siguientes: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tl w:val="0"/>
              </w:rPr>
            </w:r>
          </w:p>
          <w:tbl>
            <w:tblPr>
              <w:tblStyle w:val="Table2"/>
              <w:tblW w:w="99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9"/>
              <w:gridCol w:w="3118"/>
              <w:gridCol w:w="3155"/>
              <w:tblGridChange w:id="0">
                <w:tblGrid>
                  <w:gridCol w:w="3679"/>
                  <w:gridCol w:w="3118"/>
                  <w:gridCol w:w="315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9">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A">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Fonts w:ascii="Arial" w:cs="Arial" w:eastAsia="Arial" w:hAnsi="Arial"/>
                      <w:highlight w:val="white"/>
                      <w:rtl w:val="0"/>
                    </w:rPr>
                    <w:t xml:space="preserve">Masculino</w:t>
                  </w:r>
                </w:p>
              </w:tc>
              <w:tc>
                <w:tcPr>
                  <w:shd w:fill="auto" w:val="clear"/>
                  <w:tcMar>
                    <w:top w:w="100.0" w:type="dxa"/>
                    <w:left w:w="100.0" w:type="dxa"/>
                    <w:bottom w:w="100.0" w:type="dxa"/>
                    <w:right w:w="100.0" w:type="dxa"/>
                  </w:tcMar>
                </w:tcPr>
                <w:p w:rsidR="00000000" w:rsidDel="00000000" w:rsidP="00000000" w:rsidRDefault="00000000" w:rsidRPr="00000000" w14:paraId="0000000B">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Fonts w:ascii="Arial" w:cs="Arial" w:eastAsia="Arial" w:hAnsi="Arial"/>
                      <w:highlight w:val="white"/>
                      <w:rtl w:val="0"/>
                    </w:rPr>
                    <w:t xml:space="preserve">Femenino</w:t>
                  </w:r>
                </w:p>
              </w:tc>
            </w:tr>
            <w:tr>
              <w:tc>
                <w:tcPr>
                  <w:shd w:fill="auto" w:val="clear"/>
                  <w:tcMar>
                    <w:top w:w="100.0" w:type="dxa"/>
                    <w:left w:w="100.0" w:type="dxa"/>
                    <w:bottom w:w="100.0" w:type="dxa"/>
                    <w:right w:w="100.0" w:type="dxa"/>
                  </w:tcMar>
                </w:tcPr>
                <w:p w:rsidR="00000000" w:rsidDel="00000000" w:rsidP="00000000" w:rsidRDefault="00000000" w:rsidRPr="00000000" w14:paraId="0000000C">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Fonts w:ascii="Arial" w:cs="Arial" w:eastAsia="Arial" w:hAnsi="Arial"/>
                      <w:highlight w:val="white"/>
                      <w:rtl w:val="0"/>
                    </w:rPr>
                    <w:t xml:space="preserve">Rango normal de creatinina en sangre. Miligramos por decilitro de sangre (mg/dL)</w:t>
                  </w:r>
                </w:p>
                <w:p w:rsidR="00000000" w:rsidDel="00000000" w:rsidP="00000000" w:rsidRDefault="00000000" w:rsidRPr="00000000" w14:paraId="0000000D">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E">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Fonts w:ascii="Arial" w:cs="Arial" w:eastAsia="Arial" w:hAnsi="Arial"/>
                      <w:highlight w:val="white"/>
                      <w:rtl w:val="0"/>
                    </w:rPr>
                    <w:t xml:space="preserve">de 0,74 a 1,35 mg/dL</w:t>
                  </w:r>
                </w:p>
              </w:tc>
              <w:tc>
                <w:tcPr>
                  <w:shd w:fill="auto" w:val="clear"/>
                  <w:tcMar>
                    <w:top w:w="100.0" w:type="dxa"/>
                    <w:left w:w="100.0" w:type="dxa"/>
                    <w:bottom w:w="100.0" w:type="dxa"/>
                    <w:right w:w="100.0" w:type="dxa"/>
                  </w:tcMar>
                </w:tcPr>
                <w:p w:rsidR="00000000" w:rsidDel="00000000" w:rsidP="00000000" w:rsidRDefault="00000000" w:rsidRPr="00000000" w14:paraId="0000000F">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Fonts w:ascii="Arial" w:cs="Arial" w:eastAsia="Arial" w:hAnsi="Arial"/>
                      <w:highlight w:val="white"/>
                      <w:rtl w:val="0"/>
                    </w:rPr>
                    <w:t xml:space="preserve">de 0,59 a 1,04 mg/dL</w:t>
                  </w:r>
                </w:p>
              </w:tc>
            </w:tr>
            <w:tr>
              <w:tc>
                <w:tcPr>
                  <w:shd w:fill="auto" w:val="clear"/>
                  <w:tcMar>
                    <w:top w:w="100.0" w:type="dxa"/>
                    <w:left w:w="100.0" w:type="dxa"/>
                    <w:bottom w:w="100.0" w:type="dxa"/>
                    <w:right w:w="100.0" w:type="dxa"/>
                  </w:tcMar>
                </w:tcPr>
                <w:p w:rsidR="00000000" w:rsidDel="00000000" w:rsidP="00000000" w:rsidRDefault="00000000" w:rsidRPr="00000000" w14:paraId="00000010">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Fonts w:ascii="Arial" w:cs="Arial" w:eastAsia="Arial" w:hAnsi="Arial"/>
                      <w:highlight w:val="white"/>
                      <w:rtl w:val="0"/>
                    </w:rPr>
                    <w:t xml:space="preserve">Rango normal de creatinina en orina. Miligramos por kilogramo de masa corporal por día (mg/kg/día).</w:t>
                  </w:r>
                </w:p>
              </w:tc>
              <w:tc>
                <w:tcPr>
                  <w:shd w:fill="auto" w:val="clear"/>
                  <w:tcMar>
                    <w:top w:w="100.0" w:type="dxa"/>
                    <w:left w:w="100.0" w:type="dxa"/>
                    <w:bottom w:w="100.0" w:type="dxa"/>
                    <w:right w:w="100.0" w:type="dxa"/>
                  </w:tcMar>
                </w:tcPr>
                <w:p w:rsidR="00000000" w:rsidDel="00000000" w:rsidP="00000000" w:rsidRDefault="00000000" w:rsidRPr="00000000" w14:paraId="00000011">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Fonts w:ascii="Arial" w:cs="Arial" w:eastAsia="Arial" w:hAnsi="Arial"/>
                      <w:highlight w:val="white"/>
                      <w:rtl w:val="0"/>
                    </w:rPr>
                    <w:t xml:space="preserve">De 14 a 26 mg/kg/día</w:t>
                  </w:r>
                </w:p>
              </w:tc>
              <w:tc>
                <w:tcPr>
                  <w:shd w:fill="auto" w:val="clear"/>
                  <w:tcMar>
                    <w:top w:w="100.0" w:type="dxa"/>
                    <w:left w:w="100.0" w:type="dxa"/>
                    <w:bottom w:w="100.0" w:type="dxa"/>
                    <w:right w:w="100.0" w:type="dxa"/>
                  </w:tcMar>
                </w:tcPr>
                <w:p w:rsidR="00000000" w:rsidDel="00000000" w:rsidP="00000000" w:rsidRDefault="00000000" w:rsidRPr="00000000" w14:paraId="00000012">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Fonts w:ascii="Arial" w:cs="Arial" w:eastAsia="Arial" w:hAnsi="Arial"/>
                      <w:highlight w:val="white"/>
                      <w:rtl w:val="0"/>
                    </w:rPr>
                    <w:t xml:space="preserve">De 11 a 20 mg/kg/día</w:t>
                  </w:r>
                </w:p>
              </w:tc>
            </w:tr>
          </w:tbl>
          <w:p w:rsidR="00000000" w:rsidDel="00000000" w:rsidP="00000000" w:rsidRDefault="00000000" w:rsidRPr="00000000" w14:paraId="00000013">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Fonts w:ascii="Arial" w:cs="Arial" w:eastAsia="Arial" w:hAnsi="Arial"/>
                <w:highlight w:val="white"/>
                <w:rtl w:val="0"/>
              </w:rPr>
              <w:t xml:space="preserve">El diagnóstico preliminar de una enfermedad crónica renal (ECR) inicia con la toma de 3 muestras del nivel de creatinina de un paciente, las primeras dos muestras corresponden al nivel de creatinina en sangre, y la última al nivel de creatinina en la orina. En cada prueba realizada se le otorga un puntaje de 5 al paciente si el resultado es anormal, y de 0 si no lo es. Al final de las 3 pruebas de acuerdo al puntaje total obtenido se procede con la categorización del riesgo del paciente a padecer una ECR de acuerdo a la siguiente tabla:</w:t>
            </w:r>
          </w:p>
          <w:p w:rsidR="00000000" w:rsidDel="00000000" w:rsidP="00000000" w:rsidRDefault="00000000" w:rsidRPr="00000000" w14:paraId="00000016">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tl w:val="0"/>
              </w:rPr>
            </w:r>
          </w:p>
          <w:tbl>
            <w:tblPr>
              <w:tblStyle w:val="Table3"/>
              <w:tblW w:w="4680.0" w:type="dxa"/>
              <w:jc w:val="left"/>
              <w:tblInd w:w="19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tblGridChange w:id="0">
                <w:tblGrid>
                  <w:gridCol w:w="2340"/>
                  <w:gridCol w:w="234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18">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Fonts w:ascii="Arial" w:cs="Arial" w:eastAsia="Arial" w:hAnsi="Arial"/>
                      <w:highlight w:val="white"/>
                      <w:rtl w:val="0"/>
                    </w:rPr>
                    <w:t xml:space="preserve">Puntaje</w:t>
                  </w:r>
                </w:p>
              </w:tc>
              <w:tc>
                <w:tcPr>
                  <w:shd w:fill="auto" w:val="clear"/>
                  <w:tcMar>
                    <w:top w:w="100.0" w:type="dxa"/>
                    <w:left w:w="100.0" w:type="dxa"/>
                    <w:bottom w:w="100.0" w:type="dxa"/>
                    <w:right w:w="100.0" w:type="dxa"/>
                  </w:tcMar>
                </w:tcPr>
                <w:p w:rsidR="00000000" w:rsidDel="00000000" w:rsidP="00000000" w:rsidRDefault="00000000" w:rsidRPr="00000000" w14:paraId="00000019">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Fonts w:ascii="Arial" w:cs="Arial" w:eastAsia="Arial" w:hAnsi="Arial"/>
                      <w:highlight w:val="white"/>
                      <w:rtl w:val="0"/>
                    </w:rPr>
                    <w:t xml:space="preserve">Riesgo</w:t>
                  </w:r>
                </w:p>
              </w:tc>
            </w:tr>
            <w:tr>
              <w:tc>
                <w:tcPr>
                  <w:shd w:fill="auto" w:val="clear"/>
                  <w:tcMar>
                    <w:top w:w="100.0" w:type="dxa"/>
                    <w:left w:w="100.0" w:type="dxa"/>
                    <w:bottom w:w="100.0" w:type="dxa"/>
                    <w:right w:w="100.0" w:type="dxa"/>
                  </w:tcMar>
                </w:tcPr>
                <w:p w:rsidR="00000000" w:rsidDel="00000000" w:rsidP="00000000" w:rsidRDefault="00000000" w:rsidRPr="00000000" w14:paraId="0000001A">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Fonts w:ascii="Arial" w:cs="Arial" w:eastAsia="Arial" w:hAnsi="Arial"/>
                      <w:highlight w:val="white"/>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1B">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Fonts w:ascii="Arial" w:cs="Arial" w:eastAsia="Arial" w:hAnsi="Arial"/>
                      <w:highlight w:val="white"/>
                      <w:rtl w:val="0"/>
                    </w:rPr>
                    <w:t xml:space="preserve">Sin riesgo</w:t>
                  </w:r>
                </w:p>
              </w:tc>
            </w:tr>
            <w:tr>
              <w:tc>
                <w:tcPr>
                  <w:shd w:fill="auto" w:val="clear"/>
                  <w:tcMar>
                    <w:top w:w="100.0" w:type="dxa"/>
                    <w:left w:w="100.0" w:type="dxa"/>
                    <w:bottom w:w="100.0" w:type="dxa"/>
                    <w:right w:w="100.0" w:type="dxa"/>
                  </w:tcMar>
                </w:tcPr>
                <w:p w:rsidR="00000000" w:rsidDel="00000000" w:rsidP="00000000" w:rsidRDefault="00000000" w:rsidRPr="00000000" w14:paraId="0000001C">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Fonts w:ascii="Arial" w:cs="Arial" w:eastAsia="Arial" w:hAnsi="Arial"/>
                      <w:highlight w:val="white"/>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1D">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Fonts w:ascii="Arial" w:cs="Arial" w:eastAsia="Arial" w:hAnsi="Arial"/>
                      <w:highlight w:val="white"/>
                      <w:rtl w:val="0"/>
                    </w:rPr>
                    <w:t xml:space="preserve">Bajo</w:t>
                  </w:r>
                </w:p>
              </w:tc>
            </w:tr>
            <w:tr>
              <w:tc>
                <w:tcPr>
                  <w:shd w:fill="auto" w:val="clear"/>
                  <w:tcMar>
                    <w:top w:w="100.0" w:type="dxa"/>
                    <w:left w:w="100.0" w:type="dxa"/>
                    <w:bottom w:w="100.0" w:type="dxa"/>
                    <w:right w:w="100.0" w:type="dxa"/>
                  </w:tcMar>
                </w:tcPr>
                <w:p w:rsidR="00000000" w:rsidDel="00000000" w:rsidP="00000000" w:rsidRDefault="00000000" w:rsidRPr="00000000" w14:paraId="0000001E">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Fonts w:ascii="Arial" w:cs="Arial" w:eastAsia="Arial" w:hAnsi="Arial"/>
                      <w:highlight w:val="white"/>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1F">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Fonts w:ascii="Arial" w:cs="Arial" w:eastAsia="Arial" w:hAnsi="Arial"/>
                      <w:highlight w:val="white"/>
                      <w:rtl w:val="0"/>
                    </w:rPr>
                    <w:t xml:space="preserve">Medio</w:t>
                  </w:r>
                </w:p>
              </w:tc>
            </w:tr>
            <w:tr>
              <w:tc>
                <w:tcPr>
                  <w:shd w:fill="auto" w:val="clear"/>
                  <w:tcMar>
                    <w:top w:w="100.0" w:type="dxa"/>
                    <w:left w:w="100.0" w:type="dxa"/>
                    <w:bottom w:w="100.0" w:type="dxa"/>
                    <w:right w:w="100.0" w:type="dxa"/>
                  </w:tcMar>
                </w:tcPr>
                <w:p w:rsidR="00000000" w:rsidDel="00000000" w:rsidP="00000000" w:rsidRDefault="00000000" w:rsidRPr="00000000" w14:paraId="00000020">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Fonts w:ascii="Arial" w:cs="Arial" w:eastAsia="Arial" w:hAnsi="Arial"/>
                      <w:highlight w:val="white"/>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021">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Fonts w:ascii="Arial" w:cs="Arial" w:eastAsia="Arial" w:hAnsi="Arial"/>
                      <w:highlight w:val="white"/>
                      <w:rtl w:val="0"/>
                    </w:rPr>
                    <w:t xml:space="preserve">Alto</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Fonts w:ascii="Arial" w:cs="Arial" w:eastAsia="Arial" w:hAnsi="Arial"/>
                <w:highlight w:val="white"/>
                <w:rtl w:val="0"/>
              </w:rPr>
              <w:t xml:space="preserve">Como apoyo a la fase inicial de la investigación se le ha contratado a usted para realizar un programa que deberá entonces:</w:t>
            </w:r>
          </w:p>
          <w:p w:rsidR="00000000" w:rsidDel="00000000" w:rsidP="00000000" w:rsidRDefault="00000000" w:rsidRPr="00000000" w14:paraId="00000025">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highlight w:val="white"/>
              </w:rPr>
            </w:pPr>
            <w:r w:rsidDel="00000000" w:rsidR="00000000" w:rsidRPr="00000000">
              <w:rPr>
                <w:rFonts w:ascii="Arial" w:cs="Arial" w:eastAsia="Arial" w:hAnsi="Arial"/>
                <w:highlight w:val="white"/>
                <w:rtl w:val="0"/>
              </w:rPr>
              <w:t xml:space="preserve">Leer la cantidad de pacientes del estudio.</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highlight w:val="white"/>
              </w:rPr>
            </w:pPr>
            <w:r w:rsidDel="00000000" w:rsidR="00000000" w:rsidRPr="00000000">
              <w:rPr>
                <w:rFonts w:ascii="Arial" w:cs="Arial" w:eastAsia="Arial" w:hAnsi="Arial"/>
                <w:highlight w:val="white"/>
                <w:rtl w:val="0"/>
              </w:rPr>
              <w:t xml:space="preserve">Leer y almacenar el nombre, número de cédula, y género (M para masculino y F para femenino) de cada uno de los pacientes.</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highlight w:val="white"/>
              </w:rPr>
            </w:pPr>
            <w:r w:rsidDel="00000000" w:rsidR="00000000" w:rsidRPr="00000000">
              <w:rPr>
                <w:rFonts w:ascii="Arial" w:cs="Arial" w:eastAsia="Arial" w:hAnsi="Arial"/>
                <w:highlight w:val="white"/>
                <w:rtl w:val="0"/>
              </w:rPr>
              <w:t xml:space="preserve">Leer y almacenar el valor de las muestras de laboratorio de cada uno de los pacientes.</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720"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Una vez leídos los datos:</w:t>
            </w:r>
          </w:p>
          <w:p w:rsidR="00000000" w:rsidDel="00000000" w:rsidP="00000000" w:rsidRDefault="00000000" w:rsidRPr="00000000" w14:paraId="0000002A">
            <w:pPr>
              <w:numPr>
                <w:ilvl w:val="0"/>
                <w:numId w:val="1"/>
              </w:numPr>
              <w:spacing w:after="0" w:line="240" w:lineRule="auto"/>
              <w:ind w:left="720" w:hanging="360"/>
              <w:jc w:val="both"/>
              <w:rPr>
                <w:rFonts w:ascii="Arial" w:cs="Arial" w:eastAsia="Arial" w:hAnsi="Arial"/>
                <w:highlight w:val="white"/>
              </w:rPr>
            </w:pPr>
            <w:r w:rsidDel="00000000" w:rsidR="00000000" w:rsidRPr="00000000">
              <w:rPr>
                <w:rFonts w:ascii="Arial" w:cs="Arial" w:eastAsia="Arial" w:hAnsi="Arial"/>
                <w:highlight w:val="white"/>
                <w:rtl w:val="0"/>
              </w:rPr>
              <w:t xml:space="preserve">Por paciente indicar el número del paciente de acuerdo a la posición en la tabla.</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highlight w:val="white"/>
              </w:rPr>
            </w:pPr>
            <w:r w:rsidDel="00000000" w:rsidR="00000000" w:rsidRPr="00000000">
              <w:rPr>
                <w:rFonts w:ascii="Arial" w:cs="Arial" w:eastAsia="Arial" w:hAnsi="Arial"/>
                <w:highlight w:val="white"/>
                <w:rtl w:val="0"/>
              </w:rPr>
              <w:t xml:space="preserve">Por paciente indicar el puntaje total obtenido al evaluar las 3 muestras.</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highlight w:val="white"/>
              </w:rPr>
            </w:pPr>
            <w:r w:rsidDel="00000000" w:rsidR="00000000" w:rsidRPr="00000000">
              <w:rPr>
                <w:rFonts w:ascii="Arial" w:cs="Arial" w:eastAsia="Arial" w:hAnsi="Arial"/>
                <w:highlight w:val="white"/>
                <w:rtl w:val="0"/>
              </w:rPr>
              <w:t xml:space="preserve">Por paciente indicar la categorización del riesgo.</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highlight w:val="white"/>
              </w:rPr>
            </w:pPr>
            <w:r w:rsidDel="00000000" w:rsidR="00000000" w:rsidRPr="00000000">
              <w:rPr>
                <w:rFonts w:ascii="Arial" w:cs="Arial" w:eastAsia="Arial" w:hAnsi="Arial"/>
                <w:highlight w:val="white"/>
                <w:rtl w:val="0"/>
              </w:rPr>
              <w:t xml:space="preserve">Por paciente ¿cuántas muestras se encuentran por debajo de los niveles normales?. Si ninguna muestra cumple con la condición debe indicar “Ninguno”.</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highlight w:val="white"/>
              </w:rPr>
            </w:pPr>
            <w:r w:rsidDel="00000000" w:rsidR="00000000" w:rsidRPr="00000000">
              <w:rPr>
                <w:rFonts w:ascii="Arial" w:cs="Arial" w:eastAsia="Arial" w:hAnsi="Arial"/>
                <w:highlight w:val="white"/>
                <w:rtl w:val="0"/>
              </w:rPr>
              <w:t xml:space="preserve">Por paciente ¿cuáles son los números de muestras (separadas por espacio) que se encuentran por debajo de los niveles normales?</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highlight w:val="white"/>
              </w:rPr>
            </w:pPr>
            <w:r w:rsidDel="00000000" w:rsidR="00000000" w:rsidRPr="00000000">
              <w:rPr>
                <w:rFonts w:ascii="Arial" w:cs="Arial" w:eastAsia="Arial" w:hAnsi="Arial"/>
                <w:highlight w:val="white"/>
                <w:rtl w:val="0"/>
              </w:rPr>
              <w:t xml:space="preserve">¿Cuál es el nombre del paciente con el valor más alto en el nivel de creatinina en la orina?</w:t>
            </w:r>
          </w:p>
          <w:p w:rsidR="00000000" w:rsidDel="00000000" w:rsidP="00000000" w:rsidRDefault="00000000" w:rsidRPr="00000000" w14:paraId="00000030">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Fonts w:ascii="Arial" w:cs="Arial" w:eastAsia="Arial" w:hAnsi="Arial"/>
                <w:highlight w:val="white"/>
                <w:rtl w:val="0"/>
              </w:rPr>
              <w:t xml:space="preserve">Ejemplo:</w:t>
            </w:r>
          </w:p>
          <w:p w:rsidR="00000000" w:rsidDel="00000000" w:rsidP="00000000" w:rsidRDefault="00000000" w:rsidRPr="00000000" w14:paraId="00000032">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Fonts w:ascii="Arial" w:cs="Arial" w:eastAsia="Arial" w:hAnsi="Arial"/>
                <w:highlight w:val="white"/>
                <w:rtl w:val="0"/>
              </w:rPr>
              <w:t xml:space="preserve">En la siguiente tabla se muestran los datos para dos pacientes.</w:t>
            </w:r>
          </w:p>
          <w:tbl>
            <w:tblPr>
              <w:tblStyle w:val="Table4"/>
              <w:tblW w:w="767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8"/>
              <w:gridCol w:w="1424"/>
              <w:gridCol w:w="934"/>
              <w:gridCol w:w="1179"/>
              <w:gridCol w:w="1179"/>
              <w:gridCol w:w="1179"/>
              <w:tblGridChange w:id="0">
                <w:tblGrid>
                  <w:gridCol w:w="1778"/>
                  <w:gridCol w:w="1424"/>
                  <w:gridCol w:w="934"/>
                  <w:gridCol w:w="1179"/>
                  <w:gridCol w:w="1179"/>
                  <w:gridCol w:w="1179"/>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Fonts w:ascii="Arial" w:cs="Arial" w:eastAsia="Arial" w:hAnsi="Arial"/>
                      <w:highlight w:val="white"/>
                      <w:rtl w:val="0"/>
                    </w:rPr>
                    <w:t xml:space="preserve">Nombre</w:t>
                  </w:r>
                </w:p>
              </w:tc>
              <w:tc>
                <w:tcPr>
                  <w:shd w:fill="auto" w:val="clear"/>
                  <w:tcMar>
                    <w:top w:w="100.0" w:type="dxa"/>
                    <w:left w:w="100.0" w:type="dxa"/>
                    <w:bottom w:w="100.0" w:type="dxa"/>
                    <w:right w:w="100.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Fonts w:ascii="Arial" w:cs="Arial" w:eastAsia="Arial" w:hAnsi="Arial"/>
                      <w:highlight w:val="white"/>
                      <w:rtl w:val="0"/>
                    </w:rPr>
                    <w:t xml:space="preserve">Cedula</w:t>
                  </w:r>
                </w:p>
              </w:tc>
              <w:tc>
                <w:tcPr>
                  <w:shd w:fill="auto" w:val="clear"/>
                  <w:tcMar>
                    <w:top w:w="100.0" w:type="dxa"/>
                    <w:left w:w="100.0" w:type="dxa"/>
                    <w:bottom w:w="100.0" w:type="dxa"/>
                    <w:right w:w="100.0" w:type="dxa"/>
                  </w:tcMar>
                </w:tcPr>
                <w:p w:rsidR="00000000" w:rsidDel="00000000" w:rsidP="00000000" w:rsidRDefault="00000000" w:rsidRPr="00000000" w14:paraId="00000035">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Fonts w:ascii="Arial" w:cs="Arial" w:eastAsia="Arial" w:hAnsi="Arial"/>
                      <w:highlight w:val="white"/>
                      <w:rtl w:val="0"/>
                    </w:rPr>
                    <w:t xml:space="preserve">Género</w:t>
                  </w:r>
                </w:p>
              </w:tc>
              <w:tc>
                <w:tcPr>
                  <w:shd w:fill="auto" w:val="clear"/>
                  <w:tcMar>
                    <w:top w:w="100.0" w:type="dxa"/>
                    <w:left w:w="100.0" w:type="dxa"/>
                    <w:bottom w:w="100.0" w:type="dxa"/>
                    <w:right w:w="100.0" w:type="dxa"/>
                  </w:tcMar>
                </w:tcPr>
                <w:p w:rsidR="00000000" w:rsidDel="00000000" w:rsidP="00000000" w:rsidRDefault="00000000" w:rsidRPr="00000000" w14:paraId="00000036">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Fonts w:ascii="Arial" w:cs="Arial" w:eastAsia="Arial" w:hAnsi="Arial"/>
                      <w:highlight w:val="white"/>
                      <w:rtl w:val="0"/>
                    </w:rPr>
                    <w:t xml:space="preserve">Muestra 1</w:t>
                  </w:r>
                </w:p>
              </w:tc>
              <w:tc>
                <w:tcPr>
                  <w:shd w:fill="auto" w:val="clear"/>
                  <w:tcMar>
                    <w:top w:w="100.0" w:type="dxa"/>
                    <w:left w:w="100.0" w:type="dxa"/>
                    <w:bottom w:w="100.0" w:type="dxa"/>
                    <w:right w:w="100.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Fonts w:ascii="Arial" w:cs="Arial" w:eastAsia="Arial" w:hAnsi="Arial"/>
                      <w:highlight w:val="white"/>
                      <w:rtl w:val="0"/>
                    </w:rPr>
                    <w:t xml:space="preserve">Muestra 2</w:t>
                  </w:r>
                </w:p>
              </w:tc>
              <w:tc>
                <w:tcPr>
                  <w:shd w:fill="auto" w:val="clear"/>
                  <w:tcMar>
                    <w:top w:w="100.0" w:type="dxa"/>
                    <w:left w:w="100.0" w:type="dxa"/>
                    <w:bottom w:w="100.0" w:type="dxa"/>
                    <w:right w:w="100.0" w:type="dxa"/>
                  </w:tcMar>
                </w:tcPr>
                <w:p w:rsidR="00000000" w:rsidDel="00000000" w:rsidP="00000000" w:rsidRDefault="00000000" w:rsidRPr="00000000" w14:paraId="00000038">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Fonts w:ascii="Arial" w:cs="Arial" w:eastAsia="Arial" w:hAnsi="Arial"/>
                      <w:highlight w:val="white"/>
                      <w:rtl w:val="0"/>
                    </w:rPr>
                    <w:t xml:space="preserve">Muestra 3</w:t>
                  </w:r>
                </w:p>
              </w:tc>
            </w:tr>
            <w:tr>
              <w:tc>
                <w:tcPr>
                  <w:shd w:fill="auto" w:val="clear"/>
                  <w:tcMar>
                    <w:top w:w="100.0" w:type="dxa"/>
                    <w:left w:w="100.0" w:type="dxa"/>
                    <w:bottom w:w="100.0" w:type="dxa"/>
                    <w:right w:w="100.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Fonts w:ascii="Arial" w:cs="Arial" w:eastAsia="Arial" w:hAnsi="Arial"/>
                      <w:highlight w:val="white"/>
                      <w:rtl w:val="0"/>
                    </w:rPr>
                    <w:t xml:space="preserve">Pedro González</w:t>
                  </w:r>
                </w:p>
              </w:tc>
              <w:tc>
                <w:tcPr>
                  <w:shd w:fill="auto" w:val="clear"/>
                  <w:tcMar>
                    <w:top w:w="100.0" w:type="dxa"/>
                    <w:left w:w="100.0" w:type="dxa"/>
                    <w:bottom w:w="100.0" w:type="dxa"/>
                    <w:right w:w="100.0" w:type="dxa"/>
                  </w:tcMar>
                </w:tcPr>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Fonts w:ascii="Arial" w:cs="Arial" w:eastAsia="Arial" w:hAnsi="Arial"/>
                      <w:highlight w:val="white"/>
                      <w:rtl w:val="0"/>
                    </w:rPr>
                    <w:t xml:space="preserve">1098462547</w:t>
                  </w:r>
                </w:p>
              </w:tc>
              <w:tc>
                <w:tcPr>
                  <w:shd w:fill="auto" w:val="clear"/>
                  <w:tcMar>
                    <w:top w:w="100.0" w:type="dxa"/>
                    <w:left w:w="100.0" w:type="dxa"/>
                    <w:bottom w:w="100.0" w:type="dxa"/>
                    <w:right w:w="10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Fonts w:ascii="Arial" w:cs="Arial" w:eastAsia="Arial" w:hAnsi="Arial"/>
                      <w:highlight w:val="white"/>
                      <w:rtl w:val="0"/>
                    </w:rPr>
                    <w:t xml:space="preserve">M</w:t>
                  </w:r>
                </w:p>
              </w:tc>
              <w:tc>
                <w:tcPr>
                  <w:shd w:fill="auto" w:val="clear"/>
                  <w:tcMar>
                    <w:top w:w="100.0" w:type="dxa"/>
                    <w:left w:w="100.0" w:type="dxa"/>
                    <w:bottom w:w="100.0" w:type="dxa"/>
                    <w:right w:w="100.0" w:type="dxa"/>
                  </w:tcMar>
                </w:tcPr>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Fonts w:ascii="Arial" w:cs="Arial" w:eastAsia="Arial" w:hAnsi="Arial"/>
                      <w:highlight w:val="white"/>
                      <w:rtl w:val="0"/>
                    </w:rPr>
                    <w:t xml:space="preserve">0.7</w:t>
                  </w:r>
                </w:p>
              </w:tc>
              <w:tc>
                <w:tcPr>
                  <w:shd w:fill="auto" w:val="clear"/>
                  <w:tcMar>
                    <w:top w:w="100.0" w:type="dxa"/>
                    <w:left w:w="100.0" w:type="dxa"/>
                    <w:bottom w:w="100.0" w:type="dxa"/>
                    <w:right w:w="100.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Fonts w:ascii="Arial" w:cs="Arial" w:eastAsia="Arial" w:hAnsi="Arial"/>
                      <w:highlight w:val="white"/>
                      <w:rtl w:val="0"/>
                    </w:rPr>
                    <w:t xml:space="preserve">0.6</w:t>
                  </w:r>
                </w:p>
              </w:tc>
              <w:tc>
                <w:tcPr>
                  <w:shd w:fill="auto" w:val="clear"/>
                  <w:tcMar>
                    <w:top w:w="100.0" w:type="dxa"/>
                    <w:left w:w="100.0" w:type="dxa"/>
                    <w:bottom w:w="100.0" w:type="dxa"/>
                    <w:right w:w="100.0" w:type="dxa"/>
                  </w:tcMar>
                </w:tcPr>
                <w:p w:rsidR="00000000" w:rsidDel="00000000" w:rsidP="00000000" w:rsidRDefault="00000000" w:rsidRPr="00000000" w14:paraId="0000003E">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Fonts w:ascii="Arial" w:cs="Arial" w:eastAsia="Arial" w:hAnsi="Arial"/>
                      <w:highlight w:val="white"/>
                      <w:rtl w:val="0"/>
                    </w:rPr>
                    <w:t xml:space="preserve">13</w:t>
                  </w:r>
                </w:p>
              </w:tc>
            </w:tr>
            <w:tr>
              <w:tc>
                <w:tcPr>
                  <w:shd w:fill="auto" w:val="clear"/>
                  <w:tcMar>
                    <w:top w:w="100.0" w:type="dxa"/>
                    <w:left w:w="100.0" w:type="dxa"/>
                    <w:bottom w:w="100.0" w:type="dxa"/>
                    <w:right w:w="100.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Fonts w:ascii="Arial" w:cs="Arial" w:eastAsia="Arial" w:hAnsi="Arial"/>
                      <w:highlight w:val="white"/>
                      <w:rtl w:val="0"/>
                    </w:rPr>
                    <w:t xml:space="preserve">Andrea Pérez</w:t>
                  </w:r>
                </w:p>
              </w:tc>
              <w:tc>
                <w:tcPr>
                  <w:shd w:fill="auto" w:val="clear"/>
                  <w:tcMar>
                    <w:top w:w="100.0" w:type="dxa"/>
                    <w:left w:w="100.0" w:type="dxa"/>
                    <w:bottom w:w="100.0" w:type="dxa"/>
                    <w:right w:w="100.0" w:type="dxa"/>
                  </w:tcMar>
                </w:tcPr>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Fonts w:ascii="Arial" w:cs="Arial" w:eastAsia="Arial" w:hAnsi="Arial"/>
                      <w:highlight w:val="white"/>
                      <w:rtl w:val="0"/>
                    </w:rPr>
                    <w:t xml:space="preserve">72645468</w:t>
                  </w:r>
                </w:p>
              </w:tc>
              <w:tc>
                <w:tcPr>
                  <w:shd w:fill="auto" w:val="clear"/>
                  <w:tcMar>
                    <w:top w:w="100.0" w:type="dxa"/>
                    <w:left w:w="100.0" w:type="dxa"/>
                    <w:bottom w:w="100.0" w:type="dxa"/>
                    <w:right w:w="100.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Fonts w:ascii="Arial" w:cs="Arial" w:eastAsia="Arial" w:hAnsi="Arial"/>
                      <w:highlight w:val="white"/>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042">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Fonts w:ascii="Arial" w:cs="Arial" w:eastAsia="Arial" w:hAnsi="Arial"/>
                      <w:highlight w:val="white"/>
                      <w:rtl w:val="0"/>
                    </w:rPr>
                    <w:t xml:space="preserve">0.4</w:t>
                  </w:r>
                </w:p>
              </w:tc>
              <w:tc>
                <w:tcPr>
                  <w:shd w:fill="auto" w:val="clear"/>
                  <w:tcMar>
                    <w:top w:w="100.0" w:type="dxa"/>
                    <w:left w:w="100.0" w:type="dxa"/>
                    <w:bottom w:w="100.0" w:type="dxa"/>
                    <w:right w:w="10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Fonts w:ascii="Arial" w:cs="Arial" w:eastAsia="Arial" w:hAnsi="Arial"/>
                      <w:highlight w:val="white"/>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Fonts w:ascii="Arial" w:cs="Arial" w:eastAsia="Arial" w:hAnsi="Arial"/>
                      <w:highlight w:val="white"/>
                      <w:rtl w:val="0"/>
                    </w:rPr>
                    <w:t xml:space="preserve">10</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Para el paciente 1:</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Puntaje obtenido: 15</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Categorización riesgo: Alto</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Muestras por debajo de los niveles normales: 3</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Número de las muestras que se encuentran por debajo de los niveles normales:1 2 3</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Para el paciente 2:</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Puntaje obtenido: 10</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Categorización riesgo: Medio</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Muestras por debajo de los niveles normales: 2</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Número de las muestras por debajo de los niveles normales: 1 3</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¿Cuál es el nombre del paciente con el valor más alto en el nivel de creatinina en la orina?: Pedro González</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54">
            <w:pPr>
              <w:spacing w:after="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Las entradas y salidas del programa deben corresponder con lo expresado en la siguiente tabla. Para la entrada, indicar en una primera línea el número de pacientes, y luego indicar los datos del paciente separados por guión medio (cada paciente en una línea diferente). En cuanto a las salidas, cada pregunta deberá responderse en una línea diferente, en el caso de la pregunta relacionada con el número de las muestras que se encuentran por debajo de los niveles normales, separar por espacio el número de muestras que cumplen la condición.</w:t>
            </w:r>
          </w:p>
          <w:p w:rsidR="00000000" w:rsidDel="00000000" w:rsidP="00000000" w:rsidRDefault="00000000" w:rsidRPr="00000000" w14:paraId="00000055">
            <w:pPr>
              <w:spacing w:after="0" w:line="240"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56">
            <w:pPr>
              <w:spacing w:after="0" w:line="240" w:lineRule="auto"/>
              <w:jc w:val="both"/>
              <w:rPr>
                <w:rFonts w:ascii="Arial" w:cs="Arial" w:eastAsia="Arial" w:hAnsi="Arial"/>
                <w:highlight w:val="white"/>
              </w:rPr>
            </w:pPr>
            <w:r w:rsidDel="00000000" w:rsidR="00000000" w:rsidRPr="00000000">
              <w:rPr>
                <w:rtl w:val="0"/>
              </w:rPr>
            </w:r>
          </w:p>
          <w:tbl>
            <w:tblPr>
              <w:tblStyle w:val="Table5"/>
              <w:tblW w:w="440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08"/>
              <w:tblGridChange w:id="0">
                <w:tblGrid>
                  <w:gridCol w:w="4408"/>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after="0" w:line="240" w:lineRule="auto"/>
                    <w:rPr>
                      <w:rFonts w:ascii="Arial" w:cs="Arial" w:eastAsia="Arial" w:hAnsi="Arial"/>
                      <w:highlight w:val="white"/>
                    </w:rPr>
                  </w:pPr>
                  <w:r w:rsidDel="00000000" w:rsidR="00000000" w:rsidRPr="00000000">
                    <w:rPr>
                      <w:rFonts w:ascii="Arial" w:cs="Arial" w:eastAsia="Arial" w:hAnsi="Arial"/>
                      <w:highlight w:val="white"/>
                      <w:rtl w:val="0"/>
                    </w:rPr>
                    <w:t xml:space="preserve">Entrada Esperada</w:t>
                  </w:r>
                </w:p>
              </w:tc>
            </w:tr>
            <w:tr>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after="0" w:line="240" w:lineRule="auto"/>
                    <w:rPr>
                      <w:rFonts w:ascii="Arial" w:cs="Arial" w:eastAsia="Arial" w:hAnsi="Arial"/>
                      <w:highlight w:val="white"/>
                    </w:rPr>
                  </w:pPr>
                  <w:r w:rsidDel="00000000" w:rsidR="00000000" w:rsidRPr="00000000">
                    <w:rPr>
                      <w:rFonts w:ascii="Arial" w:cs="Arial" w:eastAsia="Arial" w:hAnsi="Arial"/>
                      <w:highlight w:val="white"/>
                      <w:rtl w:val="0"/>
                    </w:rPr>
                    <w:t xml:space="preserve">2</w:t>
                  </w:r>
                </w:p>
                <w:p w:rsidR="00000000" w:rsidDel="00000000" w:rsidP="00000000" w:rsidRDefault="00000000" w:rsidRPr="00000000" w14:paraId="00000059">
                  <w:pPr>
                    <w:spacing w:after="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Pedro Gonzalez-1098462547-M-0.7-0.6-13</w:t>
                  </w:r>
                </w:p>
                <w:p w:rsidR="00000000" w:rsidDel="00000000" w:rsidP="00000000" w:rsidRDefault="00000000" w:rsidRPr="00000000" w14:paraId="0000005A">
                  <w:pPr>
                    <w:spacing w:after="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Andrea Perez-72645468-F-0.4-1-10</w:t>
                  </w:r>
                </w:p>
              </w:tc>
            </w:tr>
            <w:tr>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after="0" w:line="240" w:lineRule="auto"/>
                    <w:rPr>
                      <w:rFonts w:ascii="Arial" w:cs="Arial" w:eastAsia="Arial" w:hAnsi="Arial"/>
                      <w:highlight w:val="white"/>
                    </w:rPr>
                  </w:pPr>
                  <w:r w:rsidDel="00000000" w:rsidR="00000000" w:rsidRPr="00000000">
                    <w:rPr>
                      <w:rFonts w:ascii="Arial" w:cs="Arial" w:eastAsia="Arial" w:hAnsi="Arial"/>
                      <w:highlight w:val="white"/>
                      <w:rtl w:val="0"/>
                    </w:rPr>
                    <w:t xml:space="preserve">Salida Esperada</w:t>
                  </w:r>
                </w:p>
              </w:tc>
            </w:tr>
            <w:tr>
              <w:tc>
                <w:tcPr>
                  <w:shd w:fill="auto" w:val="clear"/>
                  <w:tcMar>
                    <w:top w:w="100.0" w:type="dxa"/>
                    <w:left w:w="100.0" w:type="dxa"/>
                    <w:bottom w:w="100.0" w:type="dxa"/>
                    <w:right w:w="100.0" w:type="dxa"/>
                  </w:tcMar>
                </w:tcPr>
                <w:p w:rsidR="00000000" w:rsidDel="00000000" w:rsidP="00000000" w:rsidRDefault="00000000" w:rsidRPr="00000000" w14:paraId="0000005C">
                  <w:pPr>
                    <w:spacing w:after="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1</w:t>
                  </w:r>
                </w:p>
                <w:p w:rsidR="00000000" w:rsidDel="00000000" w:rsidP="00000000" w:rsidRDefault="00000000" w:rsidRPr="00000000" w14:paraId="0000005D">
                  <w:pPr>
                    <w:spacing w:after="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15</w:t>
                  </w:r>
                </w:p>
                <w:p w:rsidR="00000000" w:rsidDel="00000000" w:rsidP="00000000" w:rsidRDefault="00000000" w:rsidRPr="00000000" w14:paraId="0000005E">
                  <w:pPr>
                    <w:spacing w:after="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Alto</w:t>
                  </w:r>
                </w:p>
                <w:p w:rsidR="00000000" w:rsidDel="00000000" w:rsidP="00000000" w:rsidRDefault="00000000" w:rsidRPr="00000000" w14:paraId="0000005F">
                  <w:pPr>
                    <w:spacing w:after="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3</w:t>
                  </w:r>
                </w:p>
                <w:p w:rsidR="00000000" w:rsidDel="00000000" w:rsidP="00000000" w:rsidRDefault="00000000" w:rsidRPr="00000000" w14:paraId="00000060">
                  <w:pPr>
                    <w:spacing w:after="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1 2 3</w:t>
                  </w:r>
                </w:p>
                <w:p w:rsidR="00000000" w:rsidDel="00000000" w:rsidP="00000000" w:rsidRDefault="00000000" w:rsidRPr="00000000" w14:paraId="00000061">
                  <w:pPr>
                    <w:spacing w:after="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2</w:t>
                  </w:r>
                </w:p>
                <w:p w:rsidR="00000000" w:rsidDel="00000000" w:rsidP="00000000" w:rsidRDefault="00000000" w:rsidRPr="00000000" w14:paraId="00000062">
                  <w:pPr>
                    <w:spacing w:after="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10</w:t>
                  </w:r>
                </w:p>
                <w:p w:rsidR="00000000" w:rsidDel="00000000" w:rsidP="00000000" w:rsidRDefault="00000000" w:rsidRPr="00000000" w14:paraId="00000063">
                  <w:pPr>
                    <w:spacing w:after="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Medio</w:t>
                  </w:r>
                </w:p>
                <w:p w:rsidR="00000000" w:rsidDel="00000000" w:rsidP="00000000" w:rsidRDefault="00000000" w:rsidRPr="00000000" w14:paraId="00000064">
                  <w:pPr>
                    <w:spacing w:after="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2</w:t>
                  </w:r>
                </w:p>
                <w:p w:rsidR="00000000" w:rsidDel="00000000" w:rsidP="00000000" w:rsidRDefault="00000000" w:rsidRPr="00000000" w14:paraId="00000065">
                  <w:pPr>
                    <w:spacing w:after="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1 3</w:t>
                  </w:r>
                </w:p>
                <w:p w:rsidR="00000000" w:rsidDel="00000000" w:rsidP="00000000" w:rsidRDefault="00000000" w:rsidRPr="00000000" w14:paraId="00000066">
                  <w:pPr>
                    <w:spacing w:after="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Pedro Gonzalez</w:t>
                  </w:r>
                </w:p>
              </w:tc>
            </w:tr>
          </w:tbl>
          <w:p w:rsidR="00000000" w:rsidDel="00000000" w:rsidP="00000000" w:rsidRDefault="00000000" w:rsidRPr="00000000" w14:paraId="00000067">
            <w:pPr>
              <w:spacing w:after="0" w:line="240" w:lineRule="auto"/>
              <w:jc w:val="both"/>
              <w:rPr>
                <w:rFonts w:ascii="Arial" w:cs="Arial" w:eastAsia="Arial" w:hAnsi="Arial"/>
                <w:highlight w:val="white"/>
              </w:rPr>
            </w:pPr>
            <w:r w:rsidDel="00000000" w:rsidR="00000000" w:rsidRPr="00000000">
              <w:rPr>
                <w:rtl w:val="0"/>
              </w:rPr>
            </w:r>
          </w:p>
        </w:tc>
      </w:tr>
    </w:tbl>
    <w:p w:rsidR="00000000" w:rsidDel="00000000" w:rsidP="00000000" w:rsidRDefault="00000000" w:rsidRPr="00000000" w14:paraId="00000069">
      <w:pPr>
        <w:rPr>
          <w:rFonts w:ascii="Arial" w:cs="Arial" w:eastAsia="Arial" w:hAnsi="Arial"/>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Prrafodelista">
    <w:name w:val="List Paragraph"/>
    <w:basedOn w:val="Normal"/>
    <w:uiPriority w:val="34"/>
    <w:qFormat w:val="1"/>
    <w:rsid w:val="00324EBC"/>
    <w:pPr>
      <w:spacing w:after="0" w:line="276" w:lineRule="auto"/>
      <w:ind w:left="720"/>
      <w:contextualSpacing w:val="1"/>
    </w:pPr>
    <w:rPr>
      <w:rFonts w:ascii="Arial" w:cs="Arial" w:eastAsia="Arial" w:hAnsi="Arial"/>
      <w:lang w:val="es"/>
    </w:rPr>
  </w:style>
  <w:style w:type="paragraph" w:styleId="NormalWeb">
    <w:name w:val="Normal (Web)"/>
    <w:basedOn w:val="Normal"/>
    <w:uiPriority w:val="99"/>
    <w:unhideWhenUsed w:val="1"/>
    <w:rsid w:val="00324EBC"/>
    <w:pPr>
      <w:spacing w:after="100" w:afterAutospacing="1" w:before="100" w:beforeAutospacing="1" w:line="240" w:lineRule="auto"/>
    </w:pPr>
    <w:rPr>
      <w:rFonts w:ascii="Times New Roman" w:cs="Times New Roman" w:eastAsia="Times New Roman" w:hAnsi="Times New Roman"/>
      <w:sz w:val="24"/>
      <w:szCs w:val="24"/>
    </w:rPr>
  </w:style>
  <w:style w:type="paragraph" w:styleId="Sinespaciado">
    <w:name w:val="No Spacing"/>
    <w:uiPriority w:val="1"/>
    <w:qFormat w:val="1"/>
    <w:rsid w:val="00D60AF6"/>
    <w:pPr>
      <w:spacing w:after="0" w:line="240" w:lineRule="auto"/>
    </w:pPr>
  </w:style>
  <w:style w:type="table" w:styleId="Tablaconcuadrcula">
    <w:name w:val="Table Grid"/>
    <w:basedOn w:val="Tablanormal"/>
    <w:uiPriority w:val="39"/>
    <w:rsid w:val="00D60AF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CellMar>
        <w:left w:w="115.0" w:type="dxa"/>
        <w:right w:w="115.0" w:type="dxa"/>
      </w:tblCellMar>
    </w:tblPr>
  </w:style>
  <w:style w:type="table" w:styleId="a0" w:customStyle="1">
    <w:basedOn w:val="TableNormal1"/>
    <w:tblPr>
      <w:tblStyleRowBandSize w:val="1"/>
      <w:tblStyleColBandSize w:val="1"/>
      <w:tblCellMar>
        <w:top w:w="100.0" w:type="dxa"/>
        <w:left w:w="100.0" w:type="dxa"/>
        <w:bottom w:w="100.0" w:type="dxa"/>
        <w:right w:w="100.0" w:type="dxa"/>
      </w:tblCellMar>
    </w:tblPr>
  </w:style>
  <w:style w:type="table" w:styleId="a1" w:customStyle="1">
    <w:basedOn w:val="TableNormal1"/>
    <w:tblPr>
      <w:tblStyleRowBandSize w:val="1"/>
      <w:tblStyleColBandSize w:val="1"/>
      <w:tblCellMar>
        <w:top w:w="100.0" w:type="dxa"/>
        <w:left w:w="100.0" w:type="dxa"/>
        <w:bottom w:w="100.0" w:type="dxa"/>
        <w:right w:w="100.0" w:type="dxa"/>
      </w:tblCellMar>
    </w:tblPr>
  </w:style>
  <w:style w:type="table" w:styleId="a2" w:customStyle="1">
    <w:basedOn w:val="TableNormal1"/>
    <w:tblPr>
      <w:tblStyleRowBandSize w:val="1"/>
      <w:tblStyleColBandSize w:val="1"/>
      <w:tblCellMar>
        <w:top w:w="100.0" w:type="dxa"/>
        <w:left w:w="100.0" w:type="dxa"/>
        <w:bottom w:w="100.0" w:type="dxa"/>
        <w:right w:w="100.0" w:type="dxa"/>
      </w:tblCellMar>
    </w:tblPr>
  </w:style>
  <w:style w:type="table" w:styleId="a3" w:customStyle="1">
    <w:basedOn w:val="TableNormal1"/>
    <w:tblPr>
      <w:tblStyleRowBandSize w:val="1"/>
      <w:tblStyleColBandSize w:val="1"/>
      <w:tblCellMar>
        <w:left w:w="115.0" w:type="dxa"/>
        <w:right w:w="115.0" w:type="dxa"/>
      </w:tblCellMar>
    </w:tblPr>
  </w:style>
  <w:style w:type="table" w:styleId="a4" w:customStyle="1">
    <w:basedOn w:val="TableNormal1"/>
    <w:tblPr>
      <w:tblStyleRowBandSize w:val="1"/>
      <w:tblStyleColBandSize w:val="1"/>
      <w:tblCellMar>
        <w:top w:w="100.0" w:type="dxa"/>
        <w:left w:w="100.0" w:type="dxa"/>
        <w:bottom w:w="100.0" w:type="dxa"/>
        <w:right w:w="100.0" w:type="dxa"/>
      </w:tblCellMar>
    </w:tblPr>
  </w:style>
  <w:style w:type="table" w:styleId="a5" w:customStyle="1">
    <w:basedOn w:val="TableNormal1"/>
    <w:tblPr>
      <w:tblStyleRowBandSize w:val="1"/>
      <w:tblStyleColBandSize w:val="1"/>
      <w:tblCellMar>
        <w:top w:w="100.0" w:type="dxa"/>
        <w:left w:w="100.0" w:type="dxa"/>
        <w:bottom w:w="100.0" w:type="dxa"/>
        <w:right w:w="100.0" w:type="dxa"/>
      </w:tblCellMar>
    </w:tblPr>
  </w:style>
  <w:style w:type="table" w:styleId="a6" w:customStyle="1">
    <w:basedOn w:val="TableNormal1"/>
    <w:tblPr>
      <w:tblStyleRowBandSize w:val="1"/>
      <w:tblStyleColBandSize w:val="1"/>
      <w:tblCellMar>
        <w:top w:w="100.0" w:type="dxa"/>
        <w:left w:w="100.0" w:type="dxa"/>
        <w:bottom w:w="100.0" w:type="dxa"/>
        <w:right w:w="100.0" w:type="dxa"/>
      </w:tblCellMar>
    </w:tblPr>
  </w:style>
  <w:style w:type="table" w:styleId="a7" w:customStyle="1">
    <w:basedOn w:val="TableNormal1"/>
    <w:tblPr>
      <w:tblStyleRowBandSize w:val="1"/>
      <w:tblStyleColBandSize w:val="1"/>
      <w:tblCellMar>
        <w:left w:w="115.0" w:type="dxa"/>
        <w:right w:w="115.0" w:type="dxa"/>
      </w:tblCellMar>
    </w:tblPr>
  </w:style>
  <w:style w:type="table" w:styleId="a8" w:customStyle="1">
    <w:basedOn w:val="TableNormal1"/>
    <w:tblPr>
      <w:tblStyleRowBandSize w:val="1"/>
      <w:tblStyleColBandSize w:val="1"/>
      <w:tblCellMar>
        <w:top w:w="100.0" w:type="dxa"/>
        <w:left w:w="100.0" w:type="dxa"/>
        <w:bottom w:w="100.0" w:type="dxa"/>
        <w:right w:w="100.0" w:type="dxa"/>
      </w:tblCellMar>
    </w:tblPr>
  </w:style>
  <w:style w:type="table" w:styleId="a9" w:customStyle="1">
    <w:basedOn w:val="TableNormal1"/>
    <w:tblPr>
      <w:tblStyleRowBandSize w:val="1"/>
      <w:tblStyleColBandSize w:val="1"/>
      <w:tblCellMar>
        <w:top w:w="100.0" w:type="dxa"/>
        <w:left w:w="100.0" w:type="dxa"/>
        <w:bottom w:w="100.0" w:type="dxa"/>
        <w:right w:w="100.0" w:type="dxa"/>
      </w:tblCellMar>
    </w:tblPr>
  </w:style>
  <w:style w:type="table" w:styleId="aa" w:customStyle="1">
    <w:basedOn w:val="TableNormal1"/>
    <w:tblPr>
      <w:tblStyleRowBandSize w:val="1"/>
      <w:tblStyleColBandSize w:val="1"/>
      <w:tblCellMar>
        <w:top w:w="100.0" w:type="dxa"/>
        <w:left w:w="100.0" w:type="dxa"/>
        <w:bottom w:w="100.0" w:type="dxa"/>
        <w:right w:w="100.0" w:type="dxa"/>
      </w:tblCellMar>
    </w:tblPr>
  </w:style>
  <w:style w:type="table" w:styleId="ab" w:customStyle="1">
    <w:basedOn w:val="TableNormal1"/>
    <w:tblPr>
      <w:tblStyleRowBandSize w:val="1"/>
      <w:tblStyleColBandSize w:val="1"/>
      <w:tblCellMar>
        <w:left w:w="115.0" w:type="dxa"/>
        <w:right w:w="115.0" w:type="dxa"/>
      </w:tblCellMar>
    </w:tblPr>
  </w:style>
  <w:style w:type="table" w:styleId="ac" w:customStyle="1">
    <w:basedOn w:val="TableNormal1"/>
    <w:tblPr>
      <w:tblStyleRowBandSize w:val="1"/>
      <w:tblStyleColBandSize w:val="1"/>
      <w:tblCellMar>
        <w:top w:w="100.0" w:type="dxa"/>
        <w:left w:w="100.0" w:type="dxa"/>
        <w:bottom w:w="100.0" w:type="dxa"/>
        <w:right w:w="100.0" w:type="dxa"/>
      </w:tblCellMar>
    </w:tblPr>
  </w:style>
  <w:style w:type="table" w:styleId="ad" w:customStyle="1">
    <w:basedOn w:val="TableNormal1"/>
    <w:tblPr>
      <w:tblStyleRowBandSize w:val="1"/>
      <w:tblStyleColBandSize w:val="1"/>
      <w:tblCellMar>
        <w:left w:w="115.0" w:type="dxa"/>
        <w:right w:w="115.0" w:type="dxa"/>
      </w:tblCellMar>
    </w:tblPr>
  </w:style>
  <w:style w:type="table" w:styleId="ae" w:customStyle="1">
    <w:basedOn w:val="TableNormal1"/>
    <w:tblPr>
      <w:tblStyleRowBandSize w:val="1"/>
      <w:tblStyleColBandSize w:val="1"/>
      <w:tblCellMar>
        <w:top w:w="100.0" w:type="dxa"/>
        <w:left w:w="100.0" w:type="dxa"/>
        <w:bottom w:w="100.0" w:type="dxa"/>
        <w:right w:w="100.0" w:type="dxa"/>
      </w:tblCellMar>
    </w:tblPr>
  </w:style>
  <w:style w:type="table" w:styleId="af" w:customStyle="1">
    <w:basedOn w:val="TableNormal1"/>
    <w:tblPr>
      <w:tblStyleRowBandSize w:val="1"/>
      <w:tblStyleColBandSize w:val="1"/>
      <w:tblCellMar>
        <w:left w:w="115.0" w:type="dxa"/>
        <w:right w:w="115.0" w:type="dxa"/>
      </w:tblCellMar>
    </w:tblPr>
  </w:style>
  <w:style w:type="table" w:styleId="af0" w:customStyle="1">
    <w:basedOn w:val="TableNormal1"/>
    <w:tblPr>
      <w:tblStyleRowBandSize w:val="1"/>
      <w:tblStyleColBandSize w:val="1"/>
      <w:tblCellMar>
        <w:top w:w="100.0" w:type="dxa"/>
        <w:left w:w="100.0" w:type="dxa"/>
        <w:bottom w:w="100.0" w:type="dxa"/>
        <w:right w:w="100.0" w:type="dxa"/>
      </w:tblCellMar>
    </w:tblPr>
  </w:style>
  <w:style w:type="table" w:styleId="af1" w:customStyle="1">
    <w:basedOn w:val="TableNormal1"/>
    <w:tblPr>
      <w:tblStyleRowBandSize w:val="1"/>
      <w:tblStyleColBandSize w:val="1"/>
      <w:tblCellMar>
        <w:left w:w="115.0" w:type="dxa"/>
        <w:right w:w="115.0" w:type="dxa"/>
      </w:tblCellMar>
    </w:tblPr>
  </w:style>
  <w:style w:type="table" w:styleId="af2" w:customStyle="1">
    <w:basedOn w:val="TableNormal1"/>
    <w:tblPr>
      <w:tblStyleRowBandSize w:val="1"/>
      <w:tblStyleColBandSize w:val="1"/>
      <w:tblCellMar>
        <w:top w:w="100.0" w:type="dxa"/>
        <w:left w:w="100.0" w:type="dxa"/>
        <w:bottom w:w="100.0" w:type="dxa"/>
        <w:right w:w="100.0" w:type="dxa"/>
      </w:tblCellMar>
    </w:tblPr>
  </w:style>
  <w:style w:type="table" w:styleId="af3" w:customStyle="1">
    <w:basedOn w:val="TableNormal1"/>
    <w:tblPr>
      <w:tblStyleRowBandSize w:val="1"/>
      <w:tblStyleColBandSize w:val="1"/>
      <w:tblCellMar>
        <w:left w:w="115.0" w:type="dxa"/>
        <w:right w:w="115.0" w:type="dxa"/>
      </w:tblCellMar>
    </w:tblPr>
  </w:style>
  <w:style w:type="table" w:styleId="af4" w:customStyle="1">
    <w:basedOn w:val="TableNormal1"/>
    <w:tblPr>
      <w:tblStyleRowBandSize w:val="1"/>
      <w:tblStyleColBandSize w:val="1"/>
      <w:tblCellMar>
        <w:top w:w="100.0" w:type="dxa"/>
        <w:left w:w="100.0" w:type="dxa"/>
        <w:bottom w:w="100.0" w:type="dxa"/>
        <w:right w:w="100.0" w:type="dxa"/>
      </w:tblCellMar>
    </w:tblPr>
  </w:style>
  <w:style w:type="table" w:styleId="af5" w:customStyle="1">
    <w:basedOn w:val="TableNormal1"/>
    <w:tblPr>
      <w:tblStyleRowBandSize w:val="1"/>
      <w:tblStyleColBandSize w:val="1"/>
      <w:tblCellMar>
        <w:left w:w="115.0" w:type="dxa"/>
        <w:right w:w="115.0" w:type="dxa"/>
      </w:tblCellMar>
    </w:tblPr>
  </w:style>
  <w:style w:type="table" w:styleId="af6" w:customStyle="1">
    <w:basedOn w:val="TableNormal1"/>
    <w:tblPr>
      <w:tblStyleRowBandSize w:val="1"/>
      <w:tblStyleColBandSize w:val="1"/>
      <w:tblCellMar>
        <w:left w:w="115.0" w:type="dxa"/>
        <w:right w:w="115.0" w:type="dxa"/>
      </w:tblCellMar>
    </w:tblPr>
  </w:style>
  <w:style w:type="table" w:styleId="af7" w:customStyle="1">
    <w:basedOn w:val="TableNormal1"/>
    <w:tblPr>
      <w:tblStyleRowBandSize w:val="1"/>
      <w:tblStyleColBandSize w:val="1"/>
      <w:tblCellMar>
        <w:top w:w="100.0" w:type="dxa"/>
        <w:left w:w="100.0" w:type="dxa"/>
        <w:bottom w:w="100.0" w:type="dxa"/>
        <w:right w:w="100.0" w:type="dxa"/>
      </w:tblCellMar>
    </w:tblPr>
  </w:style>
  <w:style w:type="table" w:styleId="af8" w:customStyle="1">
    <w:basedOn w:val="TableNormal1"/>
    <w:tblPr>
      <w:tblStyleRowBandSize w:val="1"/>
      <w:tblStyleColBandSize w:val="1"/>
      <w:tblCellMar>
        <w:left w:w="115.0" w:type="dxa"/>
        <w:right w:w="115.0" w:type="dxa"/>
      </w:tblCellMar>
    </w:tblPr>
  </w:style>
  <w:style w:type="table" w:styleId="af9" w:customStyle="1">
    <w:basedOn w:val="TableNormal1"/>
    <w:tblPr>
      <w:tblStyleRowBandSize w:val="1"/>
      <w:tblStyleColBandSize w:val="1"/>
      <w:tblCellMar>
        <w:top w:w="100.0" w:type="dxa"/>
        <w:left w:w="100.0" w:type="dxa"/>
        <w:bottom w:w="100.0" w:type="dxa"/>
        <w:right w:w="100.0" w:type="dxa"/>
      </w:tblCellMar>
    </w:tblPr>
  </w:style>
  <w:style w:type="table" w:styleId="afa" w:customStyle="1">
    <w:basedOn w:val="TableNormal1"/>
    <w:tblPr>
      <w:tblStyleRowBandSize w:val="1"/>
      <w:tblStyleColBandSize w:val="1"/>
      <w:tblCellMar>
        <w:top w:w="100.0" w:type="dxa"/>
        <w:left w:w="100.0" w:type="dxa"/>
        <w:bottom w:w="100.0" w:type="dxa"/>
        <w:right w:w="100.0" w:type="dxa"/>
      </w:tblCellMar>
    </w:tblPr>
  </w:style>
  <w:style w:type="table" w:styleId="afb" w:customStyle="1">
    <w:basedOn w:val="TableNormal1"/>
    <w:tblPr>
      <w:tblStyleRowBandSize w:val="1"/>
      <w:tblStyleColBandSize w:val="1"/>
      <w:tblCellMar>
        <w:top w:w="100.0" w:type="dxa"/>
        <w:left w:w="100.0" w:type="dxa"/>
        <w:bottom w:w="100.0" w:type="dxa"/>
        <w:right w:w="100.0" w:type="dxa"/>
      </w:tblCellMar>
    </w:tblPr>
  </w:style>
  <w:style w:type="table" w:styleId="afc" w:customStyle="1">
    <w:basedOn w:val="TableNormal1"/>
    <w:tblPr>
      <w:tblStyleRowBandSize w:val="1"/>
      <w:tblStyleColBandSize w:val="1"/>
      <w:tblCellMar>
        <w:top w:w="100.0" w:type="dxa"/>
        <w:left w:w="100.0" w:type="dxa"/>
        <w:bottom w:w="100.0" w:type="dxa"/>
        <w:right w:w="100.0" w:type="dxa"/>
      </w:tblCellMar>
    </w:tblPr>
  </w:style>
  <w:style w:type="table" w:styleId="afd" w:customStyle="1">
    <w:basedOn w:val="TableNormal1"/>
    <w:tblPr>
      <w:tblStyleRowBandSize w:val="1"/>
      <w:tblStyleColBandSize w:val="1"/>
      <w:tblCellMar>
        <w:top w:w="100.0" w:type="dxa"/>
        <w:left w:w="100.0" w:type="dxa"/>
        <w:bottom w:w="100.0" w:type="dxa"/>
        <w:right w:w="100.0" w:type="dxa"/>
      </w:tblCellMar>
    </w:tblPr>
  </w:style>
  <w:style w:type="table" w:styleId="afe" w:customStyle="1">
    <w:basedOn w:val="TableNormal1"/>
    <w:tblPr>
      <w:tblStyleRowBandSize w:val="1"/>
      <w:tblStyleColBandSize w:val="1"/>
      <w:tblCellMar>
        <w:top w:w="100.0" w:type="dxa"/>
        <w:left w:w="100.0" w:type="dxa"/>
        <w:bottom w:w="100.0" w:type="dxa"/>
        <w:right w:w="100.0" w:type="dxa"/>
      </w:tblCellMar>
    </w:tblPr>
  </w:style>
  <w:style w:type="table" w:styleId="aff" w:customStyle="1">
    <w:basedOn w:val="TableNormal1"/>
    <w:tblPr>
      <w:tblStyleRowBandSize w:val="1"/>
      <w:tblStyleColBandSize w:val="1"/>
      <w:tblCellMar>
        <w:top w:w="100.0" w:type="dxa"/>
        <w:left w:w="100.0" w:type="dxa"/>
        <w:bottom w:w="100.0" w:type="dxa"/>
        <w:right w:w="100.0" w:type="dxa"/>
      </w:tblCellMar>
    </w:tblPr>
  </w:style>
  <w:style w:type="table" w:styleId="aff0" w:customStyle="1">
    <w:basedOn w:val="TableNormal1"/>
    <w:tblPr>
      <w:tblStyleRowBandSize w:val="1"/>
      <w:tblStyleColBandSize w:val="1"/>
      <w:tblCellMar>
        <w:top w:w="100.0" w:type="dxa"/>
        <w:left w:w="100.0" w:type="dxa"/>
        <w:bottom w:w="100.0" w:type="dxa"/>
        <w:right w:w="100.0" w:type="dxa"/>
      </w:tblCellMar>
    </w:tblPr>
  </w:style>
  <w:style w:type="table" w:styleId="aff1" w:customStyle="1">
    <w:basedOn w:val="TableNormal1"/>
    <w:tblPr>
      <w:tblStyleRowBandSize w:val="1"/>
      <w:tblStyleColBandSize w:val="1"/>
      <w:tblCellMar>
        <w:top w:w="100.0" w:type="dxa"/>
        <w:left w:w="100.0" w:type="dxa"/>
        <w:bottom w:w="100.0" w:type="dxa"/>
        <w:right w:w="100.0" w:type="dxa"/>
      </w:tblCellMar>
    </w:tblPr>
  </w:style>
  <w:style w:type="table" w:styleId="aff2" w:customStyle="1">
    <w:basedOn w:val="TableNormal1"/>
    <w:tblPr>
      <w:tblStyleRowBandSize w:val="1"/>
      <w:tblStyleColBandSize w:val="1"/>
      <w:tblCellMar>
        <w:top w:w="100.0" w:type="dxa"/>
        <w:left w:w="100.0" w:type="dxa"/>
        <w:bottom w:w="100.0" w:type="dxa"/>
        <w:right w:w="100.0" w:type="dxa"/>
      </w:tblCellMar>
    </w:tblPr>
  </w:style>
  <w:style w:type="table" w:styleId="aff3" w:customStyle="1">
    <w:basedOn w:val="TableNormal1"/>
    <w:tblPr>
      <w:tblStyleRowBandSize w:val="1"/>
      <w:tblStyleColBandSize w:val="1"/>
      <w:tblCellMar>
        <w:top w:w="100.0" w:type="dxa"/>
        <w:left w:w="100.0" w:type="dxa"/>
        <w:bottom w:w="100.0" w:type="dxa"/>
        <w:right w:w="100.0" w:type="dxa"/>
      </w:tblCellMar>
    </w:tblPr>
  </w:style>
  <w:style w:type="table" w:styleId="aff4" w:customStyle="1">
    <w:basedOn w:val="TableNormal1"/>
    <w:tblPr>
      <w:tblStyleRowBandSize w:val="1"/>
      <w:tblStyleColBandSize w:val="1"/>
      <w:tblCellMar>
        <w:top w:w="100.0" w:type="dxa"/>
        <w:left w:w="100.0" w:type="dxa"/>
        <w:bottom w:w="100.0" w:type="dxa"/>
        <w:right w:w="100.0" w:type="dxa"/>
      </w:tblCellMar>
    </w:tblPr>
  </w:style>
  <w:style w:type="table" w:styleId="aff5" w:customStyle="1">
    <w:basedOn w:val="TableNormal1"/>
    <w:tblPr>
      <w:tblStyleRowBandSize w:val="1"/>
      <w:tblStyleColBandSize w:val="1"/>
      <w:tblCellMar>
        <w:top w:w="100.0" w:type="dxa"/>
        <w:left w:w="100.0" w:type="dxa"/>
        <w:bottom w:w="100.0" w:type="dxa"/>
        <w:right w:w="100.0" w:type="dxa"/>
      </w:tblCellMar>
    </w:tblPr>
  </w:style>
  <w:style w:type="table" w:styleId="aff6" w:customStyle="1">
    <w:basedOn w:val="TableNormal1"/>
    <w:tblPr>
      <w:tblStyleRowBandSize w:val="1"/>
      <w:tblStyleColBandSize w:val="1"/>
      <w:tblCellMar>
        <w:top w:w="100.0" w:type="dxa"/>
        <w:left w:w="100.0" w:type="dxa"/>
        <w:bottom w:w="100.0" w:type="dxa"/>
        <w:right w:w="100.0" w:type="dxa"/>
      </w:tblCellMar>
    </w:tblPr>
  </w:style>
  <w:style w:type="table" w:styleId="aff7" w:customStyle="1">
    <w:basedOn w:val="TableNormal1"/>
    <w:tblPr>
      <w:tblStyleRowBandSize w:val="1"/>
      <w:tblStyleColBandSize w:val="1"/>
      <w:tblCellMar>
        <w:top w:w="100.0" w:type="dxa"/>
        <w:left w:w="100.0" w:type="dxa"/>
        <w:bottom w:w="100.0" w:type="dxa"/>
        <w:right w:w="100.0" w:type="dxa"/>
      </w:tblCellMar>
    </w:tblPr>
  </w:style>
  <w:style w:type="table" w:styleId="aff8" w:customStyle="1">
    <w:basedOn w:val="TableNormal1"/>
    <w:tblPr>
      <w:tblStyleRowBandSize w:val="1"/>
      <w:tblStyleColBandSize w:val="1"/>
      <w:tblCellMar>
        <w:top w:w="100.0" w:type="dxa"/>
        <w:left w:w="100.0" w:type="dxa"/>
        <w:bottom w:w="100.0" w:type="dxa"/>
        <w:right w:w="100.0" w:type="dxa"/>
      </w:tblCellMar>
    </w:tblPr>
  </w:style>
  <w:style w:type="table" w:styleId="aff9" w:customStyle="1">
    <w:basedOn w:val="TableNormal1"/>
    <w:tblPr>
      <w:tblStyleRowBandSize w:val="1"/>
      <w:tblStyleColBandSize w:val="1"/>
      <w:tblCellMar>
        <w:top w:w="100.0" w:type="dxa"/>
        <w:left w:w="100.0" w:type="dxa"/>
        <w:bottom w:w="100.0" w:type="dxa"/>
        <w:right w:w="100.0" w:type="dxa"/>
      </w:tblCellMar>
    </w:tblPr>
  </w:style>
  <w:style w:type="table" w:styleId="affa" w:customStyle="1">
    <w:basedOn w:val="TableNormal1"/>
    <w:tblPr>
      <w:tblStyleRowBandSize w:val="1"/>
      <w:tblStyleColBandSize w:val="1"/>
      <w:tblCellMar>
        <w:top w:w="100.0" w:type="dxa"/>
        <w:left w:w="100.0" w:type="dxa"/>
        <w:bottom w:w="100.0" w:type="dxa"/>
        <w:right w:w="100.0" w:type="dxa"/>
      </w:tblCellMar>
    </w:tblPr>
  </w:style>
  <w:style w:type="table" w:styleId="affb" w:customStyle="1">
    <w:basedOn w:val="TableNormal1"/>
    <w:tblPr>
      <w:tblStyleRowBandSize w:val="1"/>
      <w:tblStyleColBandSize w:val="1"/>
      <w:tblCellMar>
        <w:top w:w="100.0" w:type="dxa"/>
        <w:left w:w="100.0" w:type="dxa"/>
        <w:bottom w:w="100.0" w:type="dxa"/>
        <w:right w:w="100.0" w:type="dxa"/>
      </w:tblCellMar>
    </w:tblPr>
  </w:style>
  <w:style w:type="table" w:styleId="affc" w:customStyle="1">
    <w:basedOn w:val="TableNormal1"/>
    <w:tblPr>
      <w:tblStyleRowBandSize w:val="1"/>
      <w:tblStyleColBandSize w:val="1"/>
      <w:tblCellMar>
        <w:top w:w="100.0" w:type="dxa"/>
        <w:left w:w="100.0" w:type="dxa"/>
        <w:bottom w:w="100.0" w:type="dxa"/>
        <w:right w:w="100.0" w:type="dxa"/>
      </w:tblCellMar>
    </w:tblPr>
  </w:style>
  <w:style w:type="table" w:styleId="affd" w:customStyle="1">
    <w:basedOn w:val="TableNormal1"/>
    <w:tblPr>
      <w:tblStyleRowBandSize w:val="1"/>
      <w:tblStyleColBandSize w:val="1"/>
      <w:tblCellMar>
        <w:top w:w="100.0" w:type="dxa"/>
        <w:left w:w="100.0" w:type="dxa"/>
        <w:bottom w:w="100.0" w:type="dxa"/>
        <w:right w:w="100.0" w:type="dxa"/>
      </w:tblCellMar>
    </w:tblPr>
  </w:style>
  <w:style w:type="table" w:styleId="affe" w:customStyle="1">
    <w:basedOn w:val="TableNormal1"/>
    <w:tblPr>
      <w:tblStyleRowBandSize w:val="1"/>
      <w:tblStyleColBandSize w:val="1"/>
      <w:tblCellMar>
        <w:top w:w="100.0" w:type="dxa"/>
        <w:left w:w="100.0" w:type="dxa"/>
        <w:bottom w:w="100.0" w:type="dxa"/>
        <w:right w:w="100.0" w:type="dxa"/>
      </w:tblCellMar>
    </w:tblPr>
  </w:style>
  <w:style w:type="table" w:styleId="afff" w:customStyle="1">
    <w:basedOn w:val="TableNormal1"/>
    <w:tblPr>
      <w:tblStyleRowBandSize w:val="1"/>
      <w:tblStyleColBandSize w:val="1"/>
      <w:tblCellMar>
        <w:top w:w="100.0" w:type="dxa"/>
        <w:left w:w="100.0" w:type="dxa"/>
        <w:bottom w:w="100.0" w:type="dxa"/>
        <w:right w:w="100.0" w:type="dxa"/>
      </w:tblCellMar>
    </w:tblPr>
  </w:style>
  <w:style w:type="table" w:styleId="afff0" w:customStyle="1">
    <w:basedOn w:val="TableNormal1"/>
    <w:tblPr>
      <w:tblStyleRowBandSize w:val="1"/>
      <w:tblStyleColBandSize w:val="1"/>
      <w:tblCellMar>
        <w:top w:w="100.0" w:type="dxa"/>
        <w:left w:w="100.0" w:type="dxa"/>
        <w:bottom w:w="100.0" w:type="dxa"/>
        <w:right w:w="100.0" w:type="dxa"/>
      </w:tblCellMar>
    </w:tblPr>
  </w:style>
  <w:style w:type="table" w:styleId="afff1" w:customStyle="1">
    <w:basedOn w:val="TableNormal1"/>
    <w:tblPr>
      <w:tblStyleRowBandSize w:val="1"/>
      <w:tblStyleColBandSize w:val="1"/>
      <w:tblCellMar>
        <w:top w:w="100.0" w:type="dxa"/>
        <w:left w:w="100.0" w:type="dxa"/>
        <w:bottom w:w="100.0" w:type="dxa"/>
        <w:right w:w="100.0" w:type="dxa"/>
      </w:tblCellMar>
    </w:tblPr>
  </w:style>
  <w:style w:type="table" w:styleId="afff2" w:customStyle="1">
    <w:basedOn w:val="TableNormal1"/>
    <w:tblPr>
      <w:tblStyleRowBandSize w:val="1"/>
      <w:tblStyleColBandSize w:val="1"/>
      <w:tblCellMar>
        <w:top w:w="100.0" w:type="dxa"/>
        <w:left w:w="100.0" w:type="dxa"/>
        <w:bottom w:w="100.0" w:type="dxa"/>
        <w:right w:w="100.0" w:type="dxa"/>
      </w:tblCellMar>
    </w:tblPr>
  </w:style>
  <w:style w:type="table" w:styleId="afff3" w:customStyle="1">
    <w:basedOn w:val="TableNormal1"/>
    <w:tblPr>
      <w:tblStyleRowBandSize w:val="1"/>
      <w:tblStyleColBandSize w:val="1"/>
      <w:tblCellMar>
        <w:top w:w="100.0" w:type="dxa"/>
        <w:left w:w="100.0" w:type="dxa"/>
        <w:bottom w:w="100.0" w:type="dxa"/>
        <w:right w:w="100.0" w:type="dxa"/>
      </w:tblCellMar>
    </w:tblPr>
  </w:style>
  <w:style w:type="table" w:styleId="afff4" w:customStyle="1">
    <w:basedOn w:val="TableNormal1"/>
    <w:tblPr>
      <w:tblStyleRowBandSize w:val="1"/>
      <w:tblStyleColBandSize w:val="1"/>
      <w:tblCellMar>
        <w:top w:w="100.0" w:type="dxa"/>
        <w:left w:w="100.0" w:type="dxa"/>
        <w:bottom w:w="100.0" w:type="dxa"/>
        <w:right w:w="100.0" w:type="dxa"/>
      </w:tblCellMar>
    </w:tblPr>
  </w:style>
  <w:style w:type="table" w:styleId="afff5" w:customStyle="1">
    <w:basedOn w:val="TableNormal1"/>
    <w:tblPr>
      <w:tblStyleRowBandSize w:val="1"/>
      <w:tblStyleColBandSize w:val="1"/>
      <w:tblCellMar>
        <w:top w:w="100.0" w:type="dxa"/>
        <w:left w:w="100.0" w:type="dxa"/>
        <w:bottom w:w="100.0" w:type="dxa"/>
        <w:right w:w="100.0" w:type="dxa"/>
      </w:tblCellMar>
    </w:tblPr>
  </w:style>
  <w:style w:type="table" w:styleId="afff6" w:customStyle="1">
    <w:basedOn w:val="TableNormal0"/>
    <w:tblPr>
      <w:tblStyleRowBandSize w:val="1"/>
      <w:tblStyleColBandSize w:val="1"/>
      <w:tblCellMar>
        <w:top w:w="100.0" w:type="dxa"/>
        <w:left w:w="100.0" w:type="dxa"/>
        <w:bottom w:w="100.0" w:type="dxa"/>
        <w:right w:w="100.0" w:type="dxa"/>
      </w:tblCellMar>
    </w:tblPr>
  </w:style>
  <w:style w:type="table" w:styleId="afff7" w:customStyle="1">
    <w:basedOn w:val="TableNormal0"/>
    <w:tblPr>
      <w:tblStyleRowBandSize w:val="1"/>
      <w:tblStyleColBandSize w:val="1"/>
      <w:tblCellMar>
        <w:top w:w="100.0" w:type="dxa"/>
        <w:left w:w="100.0" w:type="dxa"/>
        <w:bottom w:w="100.0" w:type="dxa"/>
        <w:right w:w="100.0" w:type="dxa"/>
      </w:tblCellMar>
    </w:tblPr>
  </w:style>
  <w:style w:type="table" w:styleId="afff8" w:customStyle="1">
    <w:basedOn w:val="TableNormal0"/>
    <w:tblPr>
      <w:tblStyleRowBandSize w:val="1"/>
      <w:tblStyleColBandSize w:val="1"/>
      <w:tblCellMar>
        <w:top w:w="100.0" w:type="dxa"/>
        <w:left w:w="100.0" w:type="dxa"/>
        <w:bottom w:w="100.0" w:type="dxa"/>
        <w:right w:w="100.0" w:type="dxa"/>
      </w:tblCellMar>
    </w:tblPr>
  </w:style>
  <w:style w:type="table" w:styleId="afff9" w:customStyle="1">
    <w:basedOn w:val="TableNormal0"/>
    <w:tblPr>
      <w:tblStyleRowBandSize w:val="1"/>
      <w:tblStyleColBandSize w:val="1"/>
      <w:tblCellMar>
        <w:top w:w="100.0" w:type="dxa"/>
        <w:left w:w="100.0" w:type="dxa"/>
        <w:bottom w:w="100.0" w:type="dxa"/>
        <w:right w:w="100.0" w:type="dxa"/>
      </w:tblCellMar>
    </w:tblPr>
  </w:style>
  <w:style w:type="table" w:styleId="afffa"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wXH7QhnsDtfq/MSMFfS9S2HxWQ==">AMUW2mXRXH04OTrQnvy4nzEgi1BA9SHCZ+kSt0xnKAjzx6TXUBEtL/UfWmqR1yJKpV1B3PfT2aY/8j7kzl6ImG8efrYRMzbKpP0aXrlx4IKXWwlsgXWQFOw=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